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2442F8">
              <w:rPr>
                <w:rFonts w:ascii="Arial" w:hAnsi="Arial" w:cs="Arial"/>
                <w:sz w:val="22"/>
                <w:szCs w:val="22"/>
              </w:rPr>
              <w:t>7</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20276C" w:rsidRPr="0020276C" w:rsidRDefault="0020276C" w:rsidP="00170A90">
      <w:pPr>
        <w:pStyle w:val="Ttulo"/>
        <w:rPr>
          <w:rFonts w:ascii="Arial" w:hAnsi="Arial" w:cs="Arial"/>
          <w:color w:val="FF0000"/>
          <w:sz w:val="24"/>
        </w:rPr>
      </w:pPr>
      <w:bookmarkStart w:id="0" w:name="_GoBack"/>
      <w:r w:rsidRPr="0020276C">
        <w:rPr>
          <w:rFonts w:ascii="Arial" w:hAnsi="Arial" w:cs="Arial"/>
          <w:color w:val="FF0000"/>
          <w:sz w:val="24"/>
        </w:rPr>
        <w:lastRenderedPageBreak/>
        <w:t>RETIFICADO 01</w:t>
      </w:r>
    </w:p>
    <w:bookmarkEnd w:id="0"/>
    <w:p w:rsidR="00E64499" w:rsidRPr="00240975" w:rsidRDefault="00E64499" w:rsidP="00170A90">
      <w:pPr>
        <w:pStyle w:val="Ttulo"/>
        <w:rPr>
          <w:rFonts w:ascii="Arial" w:hAnsi="Arial" w:cs="Arial"/>
          <w:sz w:val="24"/>
        </w:rPr>
      </w:pPr>
      <w:r w:rsidRPr="00240975">
        <w:rPr>
          <w:rFonts w:ascii="Arial" w:hAnsi="Arial" w:cs="Arial"/>
          <w:sz w:val="24"/>
        </w:rPr>
        <w:t xml:space="preserve">PROCESSO LICITATÓRIO Nº </w:t>
      </w:r>
      <w:r w:rsidR="00493C04">
        <w:rPr>
          <w:rFonts w:ascii="Arial" w:hAnsi="Arial" w:cs="Arial"/>
          <w:sz w:val="24"/>
        </w:rPr>
        <w:t>10</w:t>
      </w:r>
      <w:r w:rsidR="00810B3D" w:rsidRPr="00240975">
        <w:rPr>
          <w:rFonts w:ascii="Arial" w:hAnsi="Arial" w:cs="Arial"/>
          <w:sz w:val="24"/>
        </w:rPr>
        <w:t>/201</w:t>
      </w:r>
      <w:r w:rsidR="00EC2BAB">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493C04">
        <w:rPr>
          <w:rFonts w:ascii="Arial" w:hAnsi="Arial" w:cs="Arial"/>
          <w:sz w:val="24"/>
        </w:rPr>
        <w:t>7</w:t>
      </w:r>
      <w:r w:rsidR="00EB6570" w:rsidRPr="00240975">
        <w:rPr>
          <w:rFonts w:ascii="Arial" w:hAnsi="Arial" w:cs="Arial"/>
          <w:sz w:val="24"/>
        </w:rPr>
        <w:t>/201</w:t>
      </w:r>
      <w:r w:rsidR="00170A90" w:rsidRPr="00240975">
        <w:rPr>
          <w:rFonts w:ascii="Arial" w:hAnsi="Arial" w:cs="Arial"/>
          <w:sz w:val="24"/>
        </w:rPr>
        <w:t>9</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Pr="00240975">
        <w:rPr>
          <w:rFonts w:ascii="Arial" w:hAnsi="Arial" w:cs="Arial"/>
        </w:rPr>
        <w:t xml:space="preserve">, a partir de </w:t>
      </w:r>
      <w:r w:rsidR="00674524" w:rsidRPr="00674524">
        <w:rPr>
          <w:rFonts w:ascii="Arial" w:hAnsi="Arial" w:cs="Arial"/>
        </w:rPr>
        <w:t>2</w:t>
      </w:r>
      <w:r w:rsidR="006D6A9C">
        <w:rPr>
          <w:rFonts w:ascii="Arial" w:hAnsi="Arial" w:cs="Arial"/>
        </w:rPr>
        <w:t>2</w:t>
      </w:r>
      <w:r w:rsidRPr="00674524">
        <w:rPr>
          <w:rFonts w:ascii="Arial" w:hAnsi="Arial" w:cs="Arial"/>
        </w:rPr>
        <w:t xml:space="preserve"> de </w:t>
      </w:r>
      <w:r w:rsidR="000C22BA" w:rsidRPr="00674524">
        <w:rPr>
          <w:rFonts w:ascii="Arial" w:hAnsi="Arial" w:cs="Arial"/>
        </w:rPr>
        <w:t>março</w:t>
      </w:r>
      <w:r w:rsidRPr="00674524">
        <w:rPr>
          <w:rFonts w:ascii="Arial" w:hAnsi="Arial" w:cs="Arial"/>
        </w:rPr>
        <w:t xml:space="preserve"> de 201</w:t>
      </w:r>
      <w:r w:rsidR="00AB2722" w:rsidRPr="00674524">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002442F8" w:rsidRPr="00BD1499">
        <w:rPr>
          <w:rFonts w:ascii="Arial" w:hAnsi="Arial" w:cs="Arial"/>
          <w:sz w:val="22"/>
          <w:szCs w:val="22"/>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4"/>
        <w:gridCol w:w="1740"/>
        <w:gridCol w:w="2372"/>
        <w:gridCol w:w="3830"/>
      </w:tblGrid>
      <w:tr w:rsidR="00ED7B9F" w:rsidRPr="00240975" w:rsidTr="00156D08">
        <w:tc>
          <w:tcPr>
            <w:tcW w:w="500"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1"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w:t>
      </w:r>
      <w:r w:rsidR="00F31244" w:rsidRPr="00B37EB6">
        <w:rPr>
          <w:rFonts w:ascii="Arial" w:hAnsi="Arial" w:cs="Arial"/>
        </w:rPr>
        <w:t xml:space="preserve">1 </w:t>
      </w:r>
      <w:r w:rsidR="005E4AA5" w:rsidRPr="0039467F">
        <w:rPr>
          <w:rFonts w:ascii="Arial" w:hAnsi="Arial" w:cs="Arial"/>
        </w:rPr>
        <w:t xml:space="preserve">O preço global estimado para </w:t>
      </w:r>
      <w:r w:rsidR="005E4AA5" w:rsidRPr="00F27D13">
        <w:rPr>
          <w:rFonts w:ascii="Arial" w:hAnsi="Arial" w:cs="Arial"/>
        </w:rPr>
        <w:t xml:space="preserve">o credenciamento dos </w:t>
      </w:r>
      <w:r w:rsidR="00F27D13" w:rsidRPr="00F27D13">
        <w:rPr>
          <w:rFonts w:ascii="Arial" w:hAnsi="Arial" w:cs="Arial"/>
        </w:rPr>
        <w:t>ginecologistas</w:t>
      </w:r>
      <w:r w:rsidR="005E4AA5" w:rsidRPr="0039467F">
        <w:rPr>
          <w:rFonts w:ascii="Arial" w:hAnsi="Arial" w:cs="Arial"/>
        </w:rPr>
        <w:t xml:space="preserve"> é de no máximo </w:t>
      </w:r>
      <w:r w:rsidR="0039467F" w:rsidRPr="0039467F">
        <w:rPr>
          <w:rFonts w:ascii="Arial" w:hAnsi="Arial" w:cs="Arial"/>
        </w:rPr>
        <w:t xml:space="preserve">R$ 140.000,00 (cento e quarenta mil reais) </w:t>
      </w:r>
      <w:r w:rsidR="005E4AA5" w:rsidRPr="0039467F">
        <w:rPr>
          <w:rFonts w:ascii="Arial" w:hAnsi="Arial" w:cs="Arial"/>
        </w:rPr>
        <w:t>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Pr="0020276C" w:rsidRDefault="000B08E4" w:rsidP="000B08E4">
      <w:pPr>
        <w:pStyle w:val="Corpodetexto"/>
        <w:rPr>
          <w:rFonts w:cs="Arial"/>
          <w:color w:val="FF0000"/>
        </w:rPr>
      </w:pPr>
      <w:r w:rsidRPr="0020276C">
        <w:rPr>
          <w:rFonts w:ascii="Arial" w:hAnsi="Arial" w:cs="Arial"/>
          <w:color w:val="FF0000"/>
        </w:rPr>
        <w:t>3.1</w:t>
      </w:r>
      <w:r w:rsidRPr="0020276C">
        <w:rPr>
          <w:rFonts w:ascii="Arial" w:hAnsi="Arial" w:cs="Arial"/>
          <w:b/>
          <w:color w:val="FF0000"/>
        </w:rPr>
        <w:t xml:space="preserve"> </w:t>
      </w:r>
      <w:r w:rsidRPr="0020276C">
        <w:rPr>
          <w:rFonts w:ascii="Arial" w:hAnsi="Arial" w:cs="Arial"/>
          <w:color w:val="FF0000"/>
        </w:rPr>
        <w:t>Condições para participação:</w:t>
      </w:r>
    </w:p>
    <w:p w:rsidR="0058522E" w:rsidRPr="0020276C" w:rsidRDefault="00C37BE4" w:rsidP="006209CD">
      <w:pPr>
        <w:pStyle w:val="Corpodetexto"/>
        <w:numPr>
          <w:ilvl w:val="0"/>
          <w:numId w:val="21"/>
        </w:numPr>
        <w:ind w:left="0" w:firstLine="142"/>
        <w:rPr>
          <w:rFonts w:ascii="Arial" w:hAnsi="Arial" w:cs="Arial"/>
          <w:color w:val="FF0000"/>
        </w:rPr>
      </w:pPr>
      <w:r w:rsidRPr="0020276C">
        <w:rPr>
          <w:rFonts w:ascii="Arial" w:hAnsi="Arial" w:cs="Arial"/>
          <w:color w:val="FF0000"/>
        </w:rPr>
        <w:t>Desempenhar as atribuições pertinentes ao cargo, serviço com utilização do sistema de informação WIN SAÚDE ou outro que porventura venha a ser adotado pela Secretaria Municipal de Saúde;</w:t>
      </w:r>
    </w:p>
    <w:p w:rsidR="0058522E" w:rsidRPr="0020276C" w:rsidRDefault="00C37BE4" w:rsidP="006209CD">
      <w:pPr>
        <w:pStyle w:val="Corpodetexto"/>
        <w:numPr>
          <w:ilvl w:val="0"/>
          <w:numId w:val="21"/>
        </w:numPr>
        <w:ind w:left="0" w:firstLine="142"/>
        <w:rPr>
          <w:rFonts w:ascii="Arial" w:hAnsi="Arial" w:cs="Arial"/>
          <w:color w:val="FF0000"/>
        </w:rPr>
      </w:pPr>
      <w:r w:rsidRPr="0020276C">
        <w:rPr>
          <w:rFonts w:ascii="Arial" w:hAnsi="Arial" w:cs="Arial"/>
          <w:color w:val="FF0000"/>
        </w:rPr>
        <w:t>Apresentar o RQE da sua especialidade médica e registo profissional no Conselho Regional de Medicina de SC</w:t>
      </w:r>
      <w:r w:rsidR="00292AE3" w:rsidRPr="0020276C">
        <w:rPr>
          <w:rFonts w:ascii="Arial" w:hAnsi="Arial" w:cs="Arial"/>
          <w:color w:val="FF0000"/>
        </w:rPr>
        <w:t>;</w:t>
      </w:r>
    </w:p>
    <w:p w:rsidR="00292AE3" w:rsidRPr="0020276C" w:rsidRDefault="00292AE3" w:rsidP="006209CD">
      <w:pPr>
        <w:pStyle w:val="Recuodecorpodetexto1"/>
        <w:numPr>
          <w:ilvl w:val="0"/>
          <w:numId w:val="21"/>
        </w:numPr>
        <w:spacing w:after="0" w:line="240" w:lineRule="auto"/>
        <w:ind w:left="0" w:firstLine="142"/>
        <w:rPr>
          <w:color w:val="FF0000"/>
        </w:rPr>
      </w:pPr>
      <w:r w:rsidRPr="0020276C">
        <w:rPr>
          <w:color w:val="FF0000"/>
        </w:rPr>
        <w:t>A proponente deverá iniciar os serviços imediatamente após emissão da autorização de fornecimento, com início do atendimento aos pacientes em no máximo de 05 (cinco) dias corridos;</w:t>
      </w:r>
    </w:p>
    <w:p w:rsidR="00292AE3" w:rsidRPr="0020276C" w:rsidRDefault="00292AE3" w:rsidP="006209CD">
      <w:pPr>
        <w:pStyle w:val="Recuodecorpodetexto1"/>
        <w:numPr>
          <w:ilvl w:val="0"/>
          <w:numId w:val="21"/>
        </w:numPr>
        <w:spacing w:after="0" w:line="240" w:lineRule="auto"/>
        <w:ind w:left="0" w:firstLine="142"/>
        <w:rPr>
          <w:color w:val="FF0000"/>
        </w:rPr>
      </w:pPr>
      <w:r w:rsidRPr="0020276C">
        <w:rPr>
          <w:color w:val="FF0000"/>
        </w:rPr>
        <w:t xml:space="preserve">A presente contratação não gerará nenhum vínculo empregatício do FMS perante o contratado e seus subordinados, sendo de sua responsabilidade todas as </w:t>
      </w:r>
      <w:r w:rsidRPr="0020276C">
        <w:rPr>
          <w:color w:val="FF0000"/>
        </w:rPr>
        <w:lastRenderedPageBreak/>
        <w:t>despesas com deslocamento, transporte, estadia e alimentação dos profissionais que prestarão os serviços, pagamento de impostos, encargos e tributos que incidirem sobre a contratação;</w:t>
      </w:r>
    </w:p>
    <w:p w:rsidR="00292AE3" w:rsidRPr="0020276C" w:rsidRDefault="00292AE3" w:rsidP="006209CD">
      <w:pPr>
        <w:pStyle w:val="Recuodecorpodetexto1"/>
        <w:numPr>
          <w:ilvl w:val="0"/>
          <w:numId w:val="21"/>
        </w:numPr>
        <w:spacing w:after="0" w:line="240" w:lineRule="auto"/>
        <w:ind w:left="0" w:firstLine="142"/>
        <w:rPr>
          <w:color w:val="FF0000"/>
        </w:rPr>
      </w:pPr>
      <w:r w:rsidRPr="0020276C">
        <w:rPr>
          <w:color w:val="FF0000"/>
        </w:rPr>
        <w:t>Não poderá ser cobrada nenhuma taxa, contribuição ou encargos dos pacientes encaminhados pela Secretaria, não podendo os mesmos sofrer qualquer tipo de constrangimento;</w:t>
      </w:r>
    </w:p>
    <w:p w:rsidR="00292AE3" w:rsidRPr="0020276C" w:rsidRDefault="00292AE3" w:rsidP="006209CD">
      <w:pPr>
        <w:pStyle w:val="Recuodecorpodetexto1"/>
        <w:numPr>
          <w:ilvl w:val="0"/>
          <w:numId w:val="21"/>
        </w:numPr>
        <w:spacing w:after="0" w:line="240" w:lineRule="auto"/>
        <w:ind w:left="0" w:firstLine="142"/>
        <w:rPr>
          <w:color w:val="FF0000"/>
        </w:rPr>
      </w:pPr>
      <w:r w:rsidRPr="0020276C">
        <w:rPr>
          <w:color w:val="FF0000"/>
        </w:rPr>
        <w:t>Os pagamentos serão efetuados na proporção ao número de atendimentos realizados por mês, até 30 (trinta) dias do mês subsequente a prestação dos serviços, 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0276C" w:rsidRDefault="00292AE3" w:rsidP="006209CD">
      <w:pPr>
        <w:pStyle w:val="Corpodetextorecuado"/>
        <w:numPr>
          <w:ilvl w:val="0"/>
          <w:numId w:val="21"/>
        </w:numPr>
        <w:spacing w:after="0" w:line="240" w:lineRule="auto"/>
        <w:ind w:left="0" w:firstLine="142"/>
        <w:rPr>
          <w:rFonts w:cs="Arial"/>
          <w:color w:val="FF0000"/>
        </w:rPr>
      </w:pPr>
      <w:r w:rsidRPr="0020276C">
        <w:rPr>
          <w:rFonts w:cs="Arial"/>
          <w:color w:val="FF0000"/>
        </w:rPr>
        <w:t>As consultas consideradas de urgência/emergência deverão ser realizadas no prazo de 48 (quarenta e oito) horas contadas a partir da data de autorização;</w:t>
      </w:r>
    </w:p>
    <w:p w:rsidR="00292AE3" w:rsidRPr="0020276C" w:rsidRDefault="00292AE3" w:rsidP="006209CD">
      <w:pPr>
        <w:pStyle w:val="Recuodecorpodetexto1"/>
        <w:numPr>
          <w:ilvl w:val="0"/>
          <w:numId w:val="21"/>
        </w:numPr>
        <w:spacing w:after="0" w:line="240" w:lineRule="auto"/>
        <w:ind w:left="0" w:firstLine="142"/>
        <w:rPr>
          <w:color w:val="FF0000"/>
        </w:rPr>
      </w:pPr>
      <w:r w:rsidRPr="0020276C">
        <w:rPr>
          <w:color w:val="FF0000"/>
        </w:rPr>
        <w:t>O prestador credenciado fica obrigado a desempenhar as atribuições pertinentes ao cargo/serviço com utilização do sistema de informação conforme solicitado pela Secretaria Municipal de Saúde.</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E346D6">
        <w:rPr>
          <w:rFonts w:ascii="Arial" w:hAnsi="Arial" w:cs="Arial"/>
          <w:b/>
        </w:rPr>
        <w:t>7</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w:t>
      </w:r>
      <w:r w:rsidRPr="00240975">
        <w:rPr>
          <w:rFonts w:ascii="Arial" w:hAnsi="Arial" w:cs="Arial"/>
        </w:rPr>
        <w:lastRenderedPageBreak/>
        <w:t xml:space="preserve">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w:t>
      </w:r>
      <w:r w:rsidR="00240975" w:rsidRPr="00240975">
        <w:rPr>
          <w:rFonts w:ascii="Arial" w:hAnsi="Arial" w:cs="Arial"/>
        </w:rPr>
        <w:lastRenderedPageBreak/>
        <w:t xml:space="preserve">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E077E7">
        <w:rPr>
          <w:rFonts w:ascii="Arial" w:hAnsi="Arial" w:cs="Arial"/>
          <w:b/>
          <w:sz w:val="24"/>
          <w:szCs w:val="22"/>
        </w:rPr>
        <w:t>GINECOLOGIA</w:t>
      </w:r>
      <w:r w:rsidR="005E4AA5" w:rsidRPr="00C919C1">
        <w:rPr>
          <w:rFonts w:ascii="Arial" w:hAnsi="Arial" w:cs="Arial"/>
          <w:b/>
          <w:sz w:val="28"/>
          <w:szCs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E077E7">
        <w:rPr>
          <w:rFonts w:ascii="Arial" w:hAnsi="Arial" w:cs="Arial"/>
          <w:b/>
          <w:sz w:val="24"/>
          <w:szCs w:val="22"/>
        </w:rPr>
        <w:t>GINECOLOGIA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lastRenderedPageBreak/>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E077E7">
        <w:rPr>
          <w:rFonts w:ascii="Arial" w:hAnsi="Arial" w:cs="Arial"/>
          <w:b/>
          <w:sz w:val="24"/>
          <w:szCs w:val="22"/>
        </w:rPr>
        <w:t>GINECOLOGIA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1D6256">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F31542" w:rsidRPr="00F31542">
        <w:rPr>
          <w:rFonts w:ascii="Arial" w:hAnsi="Arial" w:cs="Arial"/>
        </w:rPr>
        <w:t>2</w:t>
      </w:r>
      <w:r w:rsidR="006D6A9C">
        <w:rPr>
          <w:rFonts w:ascii="Arial" w:hAnsi="Arial" w:cs="Arial"/>
        </w:rPr>
        <w:t>2</w:t>
      </w:r>
      <w:r w:rsidR="00784191" w:rsidRPr="00F31542">
        <w:rPr>
          <w:rFonts w:ascii="Arial" w:hAnsi="Arial" w:cs="Arial"/>
        </w:rPr>
        <w:t xml:space="preserve"> de </w:t>
      </w:r>
      <w:r w:rsidR="000C22BA" w:rsidRPr="00F31542">
        <w:rPr>
          <w:rFonts w:ascii="Arial" w:hAnsi="Arial" w:cs="Arial"/>
        </w:rPr>
        <w:t>março</w:t>
      </w:r>
      <w:r w:rsidR="00784191" w:rsidRPr="00F31542">
        <w:rPr>
          <w:rFonts w:ascii="Arial" w:hAnsi="Arial" w:cs="Arial"/>
        </w:rPr>
        <w:t xml:space="preserve"> de 201</w:t>
      </w:r>
      <w:r w:rsidR="00AB2722" w:rsidRPr="00F31542">
        <w:rPr>
          <w:rFonts w:ascii="Arial" w:hAnsi="Arial" w:cs="Arial"/>
        </w:rPr>
        <w:t>9</w:t>
      </w:r>
      <w:r w:rsidR="00784191" w:rsidRPr="00F31542">
        <w:rPr>
          <w:rFonts w:ascii="Arial" w:hAnsi="Arial" w:cs="Arial"/>
        </w:rPr>
        <w:t>.</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w:t>
      </w:r>
      <w:r w:rsidR="009C141D" w:rsidRPr="00240975">
        <w:rPr>
          <w:szCs w:val="24"/>
        </w:rPr>
        <w:lastRenderedPageBreak/>
        <w:t xml:space="preserve">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w:t>
      </w:r>
      <w:r w:rsidR="00784191" w:rsidRPr="00E23309">
        <w:rPr>
          <w:rFonts w:ascii="Arial" w:hAnsi="Arial" w:cs="Arial"/>
        </w:rPr>
        <w:t xml:space="preserve">mesmo para </w:t>
      </w:r>
      <w:r w:rsidR="00AB2722" w:rsidRPr="00E23309">
        <w:rPr>
          <w:rFonts w:ascii="Arial" w:hAnsi="Arial" w:cs="Arial"/>
        </w:rPr>
        <w:t xml:space="preserve">a </w:t>
      </w:r>
      <w:r w:rsidR="00666070" w:rsidRPr="00626261">
        <w:rPr>
          <w:rFonts w:ascii="Arial" w:hAnsi="Arial" w:cs="Arial"/>
          <w:sz w:val="22"/>
          <w:szCs w:val="22"/>
        </w:rPr>
        <w:t xml:space="preserve">prestação de serviços </w:t>
      </w:r>
      <w:r w:rsidR="00666070">
        <w:rPr>
          <w:rFonts w:ascii="Arial" w:hAnsi="Arial" w:cs="Arial"/>
          <w:sz w:val="22"/>
          <w:szCs w:val="22"/>
        </w:rPr>
        <w:t>médicos especializados em ginecologia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w:t>
      </w:r>
      <w:r w:rsidRPr="00240975">
        <w:rPr>
          <w:rFonts w:ascii="Arial" w:hAnsi="Arial" w:cs="Arial"/>
        </w:rPr>
        <w:lastRenderedPageBreak/>
        <w:t xml:space="preserve">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lastRenderedPageBreak/>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D4351B">
        <w:rPr>
          <w:rFonts w:ascii="Arial" w:hAnsi="Arial" w:cs="Arial"/>
        </w:rPr>
        <w:t>08 de março de</w:t>
      </w:r>
      <w:r w:rsidRPr="00240975">
        <w:rPr>
          <w:rFonts w:ascii="Arial" w:hAnsi="Arial" w:cs="Arial"/>
        </w:rPr>
        <w:t xml:space="preserv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C97A55" w:rsidRDefault="00C97A55">
      <w:pPr>
        <w:suppressAutoHyphens w:val="0"/>
        <w:spacing w:after="200" w:line="276" w:lineRule="auto"/>
        <w:rPr>
          <w:rFonts w:ascii="Arial" w:hAnsi="Arial" w:cs="Arial"/>
          <w:b/>
          <w:bCs/>
        </w:rPr>
      </w:pPr>
    </w:p>
    <w:p w:rsidR="00493C04" w:rsidRPr="00240975" w:rsidRDefault="00493C04">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493C04">
        <w:rPr>
          <w:rFonts w:ascii="Arial" w:hAnsi="Arial" w:cs="Arial"/>
          <w:b/>
          <w:bCs/>
        </w:rPr>
        <w:t>7</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84"/>
        <w:gridCol w:w="1740"/>
        <w:gridCol w:w="2372"/>
        <w:gridCol w:w="3830"/>
      </w:tblGrid>
      <w:tr w:rsidR="00AB2722" w:rsidRPr="00240975" w:rsidTr="00156D08">
        <w:tc>
          <w:tcPr>
            <w:tcW w:w="500"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1"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AF0797">
        <w:rPr>
          <w:rFonts w:ascii="Arial" w:hAnsi="Arial" w:cs="Arial"/>
          <w:sz w:val="24"/>
        </w:rPr>
        <w:t>7</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AF0797">
        <w:rPr>
          <w:rFonts w:ascii="Arial" w:hAnsi="Arial" w:cs="Arial"/>
          <w:b/>
          <w:sz w:val="24"/>
          <w:szCs w:val="24"/>
        </w:rPr>
        <w:t>7</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F3345">
        <w:rPr>
          <w:rFonts w:ascii="Arial" w:hAnsi="Arial" w:cs="Arial"/>
        </w:rPr>
        <w:t>7</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AF0797">
        <w:rPr>
          <w:rFonts w:ascii="Arial" w:hAnsi="Arial" w:cs="Arial"/>
          <w:b/>
          <w:sz w:val="24"/>
          <w:szCs w:val="24"/>
        </w:rPr>
        <w:t>7</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F50304" w:rsidRDefault="00304478" w:rsidP="00170A90">
      <w:pPr>
        <w:pStyle w:val="Ttulo1"/>
        <w:rPr>
          <w:rFonts w:ascii="Arial" w:hAnsi="Arial" w:cs="Arial"/>
        </w:rPr>
      </w:pPr>
      <w:r w:rsidRPr="00240975">
        <w:rPr>
          <w:rFonts w:ascii="Arial" w:hAnsi="Arial" w:cs="Arial"/>
        </w:rPr>
        <w:t>PROCESSO LICITATÓRIO Nº</w:t>
      </w:r>
      <w:r w:rsidR="00BE4C42">
        <w:rPr>
          <w:rFonts w:ascii="Arial" w:hAnsi="Arial" w:cs="Arial"/>
        </w:rPr>
        <w:t xml:space="preserve"> 1</w:t>
      </w:r>
      <w:r w:rsidR="00AF0797">
        <w:rPr>
          <w:rFonts w:ascii="Arial" w:hAnsi="Arial" w:cs="Arial"/>
        </w:rPr>
        <w:t>0</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AF0797">
        <w:rPr>
          <w:rFonts w:ascii="Arial" w:hAnsi="Arial" w:cs="Arial"/>
        </w:rPr>
        <w:t>7</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F50304">
      <w:pPr>
        <w:ind w:left="782"/>
        <w:jc w:val="both"/>
        <w:rPr>
          <w:rFonts w:ascii="Arial" w:hAnsi="Arial" w:cs="Arial"/>
        </w:rPr>
      </w:pPr>
    </w:p>
    <w:p w:rsidR="00F50304" w:rsidRDefault="00F50304" w:rsidP="00F50304">
      <w:pPr>
        <w:jc w:val="center"/>
        <w:rPr>
          <w:rFonts w:ascii="Arial" w:hAnsi="Arial" w:cs="Arial"/>
          <w:szCs w:val="22"/>
        </w:rPr>
      </w:pPr>
      <w:r>
        <w:rPr>
          <w:rFonts w:ascii="Arial" w:hAnsi="Arial" w:cs="Arial"/>
          <w:b/>
          <w:bCs/>
          <w:szCs w:val="22"/>
        </w:rPr>
        <w:t>CONTRATO ADMINISTRATIVO Nº ..../2019</w:t>
      </w:r>
    </w:p>
    <w:p w:rsidR="00F50304" w:rsidRPr="00240975" w:rsidRDefault="00F50304"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F62DA0">
        <w:rPr>
          <w:rFonts w:ascii="Arial" w:hAnsi="Arial" w:cs="Arial"/>
        </w:rPr>
        <w:t>1</w:t>
      </w:r>
      <w:r w:rsidR="00AF0797">
        <w:rPr>
          <w:rFonts w:ascii="Arial" w:hAnsi="Arial" w:cs="Arial"/>
        </w:rPr>
        <w:t>0</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AF0797">
        <w:rPr>
          <w:rFonts w:ascii="Arial" w:hAnsi="Arial" w:cs="Arial"/>
        </w:rPr>
        <w:t>7</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002442F8" w:rsidRPr="00BD1499">
        <w:rPr>
          <w:rFonts w:ascii="Arial" w:hAnsi="Arial" w:cs="Arial"/>
          <w:sz w:val="22"/>
          <w:szCs w:val="22"/>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85"/>
        <w:gridCol w:w="1740"/>
        <w:gridCol w:w="2372"/>
        <w:gridCol w:w="3829"/>
      </w:tblGrid>
      <w:tr w:rsidR="00AB2722" w:rsidRPr="00240975" w:rsidTr="00156D08">
        <w:tc>
          <w:tcPr>
            <w:tcW w:w="50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1"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0"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w:t>
      </w:r>
      <w:r w:rsidRPr="00240975">
        <w:rPr>
          <w:rFonts w:ascii="Arial" w:hAnsi="Arial" w:cs="Arial"/>
        </w:rPr>
        <w:lastRenderedPageBreak/>
        <w:t xml:space="preserve">R$ </w:t>
      </w:r>
      <w:r w:rsidR="00156D08">
        <w:rPr>
          <w:rFonts w:ascii="Arial" w:hAnsi="Arial" w:cs="Arial"/>
        </w:rPr>
        <w:t>7</w:t>
      </w:r>
      <w:r w:rsidRPr="00240975">
        <w:rPr>
          <w:rFonts w:ascii="Arial" w:hAnsi="Arial" w:cs="Arial"/>
        </w:rPr>
        <w:t>0,00 (se</w:t>
      </w:r>
      <w:r w:rsidR="00156D08">
        <w:rPr>
          <w:rFonts w:ascii="Arial" w:hAnsi="Arial" w:cs="Arial"/>
        </w:rPr>
        <w:t>ten</w:t>
      </w:r>
      <w:r w:rsidR="00C919C1">
        <w:rPr>
          <w:rFonts w:ascii="Arial" w:hAnsi="Arial" w:cs="Arial"/>
        </w:rPr>
        <w:t>ta</w:t>
      </w:r>
      <w:r w:rsidRPr="00240975">
        <w:rPr>
          <w:rFonts w:ascii="Arial" w:hAnsi="Arial" w:cs="Arial"/>
        </w:rPr>
        <w:t xml:space="preserve"> reais), e o valor mensal corresponde a </w:t>
      </w:r>
      <w:r w:rsidR="00C919C1">
        <w:rPr>
          <w:rFonts w:ascii="Arial" w:hAnsi="Arial" w:cs="Arial"/>
        </w:rPr>
        <w:t>2</w:t>
      </w:r>
      <w:r w:rsidR="00156D08">
        <w:rPr>
          <w:rFonts w:ascii="Arial" w:hAnsi="Arial" w:cs="Arial"/>
        </w:rPr>
        <w:t>.000</w:t>
      </w:r>
      <w:r w:rsidRPr="00240975">
        <w:rPr>
          <w:rFonts w:ascii="Arial" w:hAnsi="Arial" w:cs="Arial"/>
        </w:rPr>
        <w:t xml:space="preserve"> (</w:t>
      </w:r>
      <w:r w:rsidR="00156D08">
        <w:rPr>
          <w:rFonts w:ascii="Arial" w:hAnsi="Arial" w:cs="Arial"/>
        </w:rPr>
        <w:t>dois mil</w:t>
      </w:r>
      <w:r w:rsidRPr="00240975">
        <w:rPr>
          <w:rFonts w:ascii="Arial" w:hAnsi="Arial" w:cs="Arial"/>
        </w:rPr>
        <w:t>) atendimentos, divididas proporcionalmente entre os profissionais credenciados;</w:t>
      </w:r>
    </w:p>
    <w:p w:rsidR="00304478" w:rsidRPr="00240975" w:rsidRDefault="002C3111" w:rsidP="00170A90">
      <w:pPr>
        <w:pStyle w:val="Corpodetexto"/>
        <w:rPr>
          <w:rFonts w:ascii="Arial" w:hAnsi="Arial" w:cs="Arial"/>
          <w:b/>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2C3111"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2C3111" w:rsidP="00BD1499">
      <w:pPr>
        <w:jc w:val="both"/>
        <w:rPr>
          <w:rFonts w:ascii="Arial" w:hAnsi="Arial" w:cs="Arial"/>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917B38" w:rsidP="00170A90">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917B38"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917B38" w:rsidP="00170A90">
      <w:pPr>
        <w:jc w:val="both"/>
        <w:rPr>
          <w:rFonts w:ascii="Arial" w:hAnsi="Arial" w:cs="Arial"/>
          <w:b/>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586364" w:rsidP="00170A90">
      <w:pPr>
        <w:jc w:val="both"/>
        <w:rPr>
          <w:rFonts w:ascii="Arial" w:hAnsi="Arial" w:cs="Arial"/>
          <w:b/>
          <w:bCs/>
        </w:rPr>
      </w:pPr>
      <w:r>
        <w:rPr>
          <w:rFonts w:ascii="Arial" w:hAnsi="Arial" w:cs="Arial"/>
          <w:b/>
          <w:bCs/>
        </w:rPr>
        <w:t>§ 4º.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586364" w:rsidP="00170A90">
      <w:pPr>
        <w:jc w:val="both"/>
        <w:rPr>
          <w:rFonts w:ascii="Arial" w:hAnsi="Arial" w:cs="Arial"/>
          <w:b/>
          <w:bCs/>
        </w:rPr>
      </w:pPr>
      <w:r>
        <w:rPr>
          <w:rFonts w:ascii="Arial" w:hAnsi="Arial" w:cs="Arial"/>
          <w:b/>
          <w:bCs/>
        </w:rPr>
        <w:t>§ 5º.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586364" w:rsidP="00170A90">
      <w:pPr>
        <w:jc w:val="both"/>
        <w:rPr>
          <w:rFonts w:ascii="Arial" w:hAnsi="Arial" w:cs="Arial"/>
        </w:rPr>
      </w:pPr>
      <w:r>
        <w:rPr>
          <w:rFonts w:ascii="Arial" w:hAnsi="Arial" w:cs="Arial"/>
          <w:b/>
          <w:bCs/>
        </w:rPr>
        <w:t>§ 6º.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DE6A8B" w:rsidP="00BD1499">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DE6A8B"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207958"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207958"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8503C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8503C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DA" w:rsidRDefault="006168DA" w:rsidP="004C0191">
      <w:r>
        <w:separator/>
      </w:r>
    </w:p>
  </w:endnote>
  <w:endnote w:type="continuationSeparator" w:id="0">
    <w:p w:rsidR="006168DA" w:rsidRDefault="006168DA"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DA" w:rsidRDefault="006168DA" w:rsidP="004C0191">
      <w:r>
        <w:separator/>
      </w:r>
    </w:p>
  </w:footnote>
  <w:footnote w:type="continuationSeparator" w:id="0">
    <w:p w:rsidR="006168DA" w:rsidRDefault="006168DA"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7BD6"/>
    <w:rsid w:val="00041A45"/>
    <w:rsid w:val="00064E08"/>
    <w:rsid w:val="00075E33"/>
    <w:rsid w:val="00094CB0"/>
    <w:rsid w:val="000A03E2"/>
    <w:rsid w:val="000B08E4"/>
    <w:rsid w:val="000B5515"/>
    <w:rsid w:val="000C1865"/>
    <w:rsid w:val="000C22BA"/>
    <w:rsid w:val="000F0D04"/>
    <w:rsid w:val="000F3345"/>
    <w:rsid w:val="001175F4"/>
    <w:rsid w:val="001262CF"/>
    <w:rsid w:val="001268CE"/>
    <w:rsid w:val="00156D08"/>
    <w:rsid w:val="00165910"/>
    <w:rsid w:val="00170A90"/>
    <w:rsid w:val="00180A20"/>
    <w:rsid w:val="00183434"/>
    <w:rsid w:val="001B7E93"/>
    <w:rsid w:val="001D6256"/>
    <w:rsid w:val="0020276C"/>
    <w:rsid w:val="00207958"/>
    <w:rsid w:val="00234618"/>
    <w:rsid w:val="00240975"/>
    <w:rsid w:val="002442F8"/>
    <w:rsid w:val="00271B1D"/>
    <w:rsid w:val="00277F1C"/>
    <w:rsid w:val="00283C50"/>
    <w:rsid w:val="0028682B"/>
    <w:rsid w:val="00287318"/>
    <w:rsid w:val="00292AE3"/>
    <w:rsid w:val="002B6E74"/>
    <w:rsid w:val="002C3111"/>
    <w:rsid w:val="002E5251"/>
    <w:rsid w:val="002F0EE4"/>
    <w:rsid w:val="002F5055"/>
    <w:rsid w:val="00304478"/>
    <w:rsid w:val="00322C26"/>
    <w:rsid w:val="003420E1"/>
    <w:rsid w:val="003478E7"/>
    <w:rsid w:val="003662E4"/>
    <w:rsid w:val="00375511"/>
    <w:rsid w:val="0038005D"/>
    <w:rsid w:val="0039467F"/>
    <w:rsid w:val="003D59B1"/>
    <w:rsid w:val="003F4F5B"/>
    <w:rsid w:val="003F5E71"/>
    <w:rsid w:val="003F7888"/>
    <w:rsid w:val="00402EE4"/>
    <w:rsid w:val="004053E0"/>
    <w:rsid w:val="00416D50"/>
    <w:rsid w:val="004204CE"/>
    <w:rsid w:val="0045312A"/>
    <w:rsid w:val="00456BEA"/>
    <w:rsid w:val="0046497B"/>
    <w:rsid w:val="00473762"/>
    <w:rsid w:val="00475F40"/>
    <w:rsid w:val="004908E0"/>
    <w:rsid w:val="00493C04"/>
    <w:rsid w:val="004A08D6"/>
    <w:rsid w:val="004C0191"/>
    <w:rsid w:val="004D7B2A"/>
    <w:rsid w:val="005020A4"/>
    <w:rsid w:val="00503CA9"/>
    <w:rsid w:val="005673E2"/>
    <w:rsid w:val="00577446"/>
    <w:rsid w:val="0058512B"/>
    <w:rsid w:val="0058522E"/>
    <w:rsid w:val="00586364"/>
    <w:rsid w:val="005D7189"/>
    <w:rsid w:val="005E4AA5"/>
    <w:rsid w:val="00602C30"/>
    <w:rsid w:val="0060514A"/>
    <w:rsid w:val="006168DA"/>
    <w:rsid w:val="006209CD"/>
    <w:rsid w:val="00622572"/>
    <w:rsid w:val="00666070"/>
    <w:rsid w:val="00674524"/>
    <w:rsid w:val="00676A9A"/>
    <w:rsid w:val="00676F44"/>
    <w:rsid w:val="00682E08"/>
    <w:rsid w:val="00684314"/>
    <w:rsid w:val="006C5746"/>
    <w:rsid w:val="006D15FB"/>
    <w:rsid w:val="006D6A9C"/>
    <w:rsid w:val="00711760"/>
    <w:rsid w:val="0071260B"/>
    <w:rsid w:val="00724957"/>
    <w:rsid w:val="00741775"/>
    <w:rsid w:val="007428A9"/>
    <w:rsid w:val="0074736D"/>
    <w:rsid w:val="00755429"/>
    <w:rsid w:val="00760196"/>
    <w:rsid w:val="00776214"/>
    <w:rsid w:val="00784191"/>
    <w:rsid w:val="00797A4A"/>
    <w:rsid w:val="007B3BB2"/>
    <w:rsid w:val="008048EC"/>
    <w:rsid w:val="00810B3D"/>
    <w:rsid w:val="00826B39"/>
    <w:rsid w:val="008503CE"/>
    <w:rsid w:val="008A55CD"/>
    <w:rsid w:val="008B272A"/>
    <w:rsid w:val="00913B0B"/>
    <w:rsid w:val="00917B38"/>
    <w:rsid w:val="00926AF9"/>
    <w:rsid w:val="0096372F"/>
    <w:rsid w:val="00963C82"/>
    <w:rsid w:val="00987057"/>
    <w:rsid w:val="009C141D"/>
    <w:rsid w:val="009D12C1"/>
    <w:rsid w:val="009D7BBE"/>
    <w:rsid w:val="009F2CD2"/>
    <w:rsid w:val="00A04FF0"/>
    <w:rsid w:val="00A43C82"/>
    <w:rsid w:val="00A50C4D"/>
    <w:rsid w:val="00A55B08"/>
    <w:rsid w:val="00A611D2"/>
    <w:rsid w:val="00AB2722"/>
    <w:rsid w:val="00AB29B0"/>
    <w:rsid w:val="00AF0797"/>
    <w:rsid w:val="00AF27F9"/>
    <w:rsid w:val="00B0319C"/>
    <w:rsid w:val="00B37EB6"/>
    <w:rsid w:val="00B51D36"/>
    <w:rsid w:val="00B65ED0"/>
    <w:rsid w:val="00B760AC"/>
    <w:rsid w:val="00BA0FB9"/>
    <w:rsid w:val="00BD1499"/>
    <w:rsid w:val="00BE4C42"/>
    <w:rsid w:val="00C37BE4"/>
    <w:rsid w:val="00C82F93"/>
    <w:rsid w:val="00C919C1"/>
    <w:rsid w:val="00C949DC"/>
    <w:rsid w:val="00C96C20"/>
    <w:rsid w:val="00C97A55"/>
    <w:rsid w:val="00CA694D"/>
    <w:rsid w:val="00CC132C"/>
    <w:rsid w:val="00CC7B67"/>
    <w:rsid w:val="00CD41BD"/>
    <w:rsid w:val="00CF6B06"/>
    <w:rsid w:val="00D176A9"/>
    <w:rsid w:val="00D32D25"/>
    <w:rsid w:val="00D37E34"/>
    <w:rsid w:val="00D4351B"/>
    <w:rsid w:val="00D43562"/>
    <w:rsid w:val="00D52AE3"/>
    <w:rsid w:val="00D7579F"/>
    <w:rsid w:val="00D81243"/>
    <w:rsid w:val="00D90983"/>
    <w:rsid w:val="00DA64E9"/>
    <w:rsid w:val="00DE6A8B"/>
    <w:rsid w:val="00E077E7"/>
    <w:rsid w:val="00E23309"/>
    <w:rsid w:val="00E335B2"/>
    <w:rsid w:val="00E346D6"/>
    <w:rsid w:val="00E351AE"/>
    <w:rsid w:val="00E37873"/>
    <w:rsid w:val="00E51FF9"/>
    <w:rsid w:val="00E64499"/>
    <w:rsid w:val="00E76F1B"/>
    <w:rsid w:val="00E77AD7"/>
    <w:rsid w:val="00EA7A6B"/>
    <w:rsid w:val="00EB6570"/>
    <w:rsid w:val="00EC1A21"/>
    <w:rsid w:val="00EC2BAB"/>
    <w:rsid w:val="00ED7B9F"/>
    <w:rsid w:val="00F00E89"/>
    <w:rsid w:val="00F149A4"/>
    <w:rsid w:val="00F27D13"/>
    <w:rsid w:val="00F31244"/>
    <w:rsid w:val="00F31542"/>
    <w:rsid w:val="00F32F0C"/>
    <w:rsid w:val="00F34CCA"/>
    <w:rsid w:val="00F50304"/>
    <w:rsid w:val="00F50EC9"/>
    <w:rsid w:val="00F515A2"/>
    <w:rsid w:val="00F62DA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5C895"/>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97C0-2BD2-47AD-A212-85038753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6134</Words>
  <Characters>33126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13</cp:revision>
  <cp:lastPrinted>2019-03-12T17:32:00Z</cp:lastPrinted>
  <dcterms:created xsi:type="dcterms:W3CDTF">2019-03-11T16:47:00Z</dcterms:created>
  <dcterms:modified xsi:type="dcterms:W3CDTF">2019-04-29T17:08:00Z</dcterms:modified>
</cp:coreProperties>
</file>