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24" w:rsidRDefault="00052324">
      <w:pPr>
        <w:jc w:val="center"/>
        <w:rPr>
          <w:rFonts w:ascii="Arial" w:hAnsi="Arial" w:cs="Arial"/>
          <w:b/>
          <w:sz w:val="24"/>
          <w:szCs w:val="24"/>
        </w:rPr>
      </w:pPr>
    </w:p>
    <w:p w:rsidR="00052324" w:rsidRDefault="00052324">
      <w:pPr>
        <w:jc w:val="center"/>
        <w:rPr>
          <w:rFonts w:ascii="Arial" w:hAnsi="Arial" w:cs="Arial"/>
          <w:b/>
          <w:sz w:val="24"/>
          <w:szCs w:val="24"/>
        </w:rPr>
      </w:pPr>
    </w:p>
    <w:p w:rsidR="00052324" w:rsidRDefault="00BC42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 DA DISPENSA DO CHAMAMENTO</w:t>
      </w:r>
    </w:p>
    <w:p w:rsidR="00052324" w:rsidRDefault="00052324">
      <w:pPr>
        <w:tabs>
          <w:tab w:val="left" w:pos="213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052324" w:rsidRDefault="00052324">
      <w:pPr>
        <w:tabs>
          <w:tab w:val="left" w:pos="213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052324" w:rsidRDefault="00BC42D4">
      <w:pPr>
        <w:tabs>
          <w:tab w:val="left" w:pos="2130"/>
        </w:tabs>
        <w:ind w:firstLine="851"/>
        <w:jc w:val="both"/>
      </w:pPr>
      <w:r>
        <w:rPr>
          <w:rFonts w:ascii="Arial" w:hAnsi="Arial" w:cs="Arial"/>
          <w:sz w:val="24"/>
          <w:szCs w:val="24"/>
        </w:rPr>
        <w:t xml:space="preserve">Considerando que o NATAL e as festividades de final de ano proporciona incentivar e resgatar o verdadeiro espirito natalino incentivando o turismo e a cultura, sendo </w:t>
      </w:r>
      <w:r>
        <w:rPr>
          <w:rFonts w:ascii="Arial" w:hAnsi="Arial" w:cs="Arial"/>
          <w:sz w:val="24"/>
          <w:szCs w:val="24"/>
        </w:rPr>
        <w:t>essencial para a economia local e regional, e necessita confeccionar, executar compra e locação de decoração natalina, bem como definir a programação natalina e festividades da virada de ano, a serem incentivados pelo Município de Caçador em parceira com O</w:t>
      </w:r>
      <w:r>
        <w:rPr>
          <w:rFonts w:ascii="Arial" w:hAnsi="Arial" w:cs="Arial"/>
          <w:sz w:val="24"/>
          <w:szCs w:val="24"/>
        </w:rPr>
        <w:t>rganização da Sociedade Civil.</w:t>
      </w:r>
      <w:r>
        <w:rPr>
          <w:rFonts w:ascii="Arial" w:hAnsi="Arial" w:cs="Arial"/>
          <w:sz w:val="24"/>
          <w:szCs w:val="24"/>
        </w:rPr>
        <w:tab/>
      </w:r>
    </w:p>
    <w:p w:rsidR="00052324" w:rsidRDefault="00BC42D4">
      <w:pPr>
        <w:tabs>
          <w:tab w:val="left" w:pos="2130"/>
        </w:tabs>
        <w:ind w:firstLine="851"/>
        <w:jc w:val="both"/>
      </w:pPr>
      <w:r>
        <w:rPr>
          <w:rFonts w:ascii="Arial" w:hAnsi="Arial" w:cs="Arial"/>
          <w:sz w:val="24"/>
          <w:szCs w:val="24"/>
        </w:rPr>
        <w:t>Considerando que a instituição que busca o desenvolvimento pleno do município e assume papel de parceria na elaboração e implantação de uma Ação de Desenvolvimento Econômico Social para o Município de Caçador. Projeto este q</w:t>
      </w:r>
      <w:r>
        <w:rPr>
          <w:rFonts w:ascii="Arial" w:hAnsi="Arial" w:cs="Arial"/>
          <w:sz w:val="24"/>
          <w:szCs w:val="24"/>
        </w:rPr>
        <w:t>ue consiste na elaboração de organizar e decorar ambientes para fomentar o espirito natalino e festividades de final de ano.</w:t>
      </w:r>
    </w:p>
    <w:p w:rsidR="00052324" w:rsidRDefault="00BC42D4">
      <w:pPr>
        <w:tabs>
          <w:tab w:val="left" w:pos="2130"/>
        </w:tabs>
        <w:ind w:firstLine="851"/>
        <w:jc w:val="both"/>
      </w:pPr>
      <w:r>
        <w:rPr>
          <w:rFonts w:ascii="Arial" w:hAnsi="Arial" w:cs="Arial"/>
          <w:sz w:val="24"/>
          <w:szCs w:val="24"/>
        </w:rPr>
        <w:t xml:space="preserve">Considerando que a instituição denominada CDL – Câmara de Dirigentes </w:t>
      </w:r>
      <w:proofErr w:type="spellStart"/>
      <w:r>
        <w:rPr>
          <w:rFonts w:ascii="Arial" w:hAnsi="Arial" w:cs="Arial"/>
          <w:sz w:val="24"/>
          <w:szCs w:val="24"/>
        </w:rPr>
        <w:t>Logistas</w:t>
      </w:r>
      <w:proofErr w:type="spellEnd"/>
      <w:r>
        <w:rPr>
          <w:rFonts w:ascii="Arial" w:hAnsi="Arial" w:cs="Arial"/>
          <w:sz w:val="24"/>
          <w:szCs w:val="24"/>
        </w:rPr>
        <w:t xml:space="preserve"> de Caçador, atua neste município a mais de 40 anos e </w:t>
      </w:r>
      <w:r>
        <w:rPr>
          <w:rFonts w:ascii="Arial" w:hAnsi="Arial" w:cs="Arial"/>
          <w:sz w:val="24"/>
          <w:szCs w:val="24"/>
        </w:rPr>
        <w:t>se encontra devidamente estabelecida nos moldes legais, inclusive realizando atividades de organizações associativas ligadas a cultura e a arte.</w:t>
      </w:r>
    </w:p>
    <w:p w:rsidR="00052324" w:rsidRDefault="00BC42D4">
      <w:pPr>
        <w:tabs>
          <w:tab w:val="left" w:pos="2130"/>
        </w:tabs>
        <w:ind w:firstLine="851"/>
        <w:jc w:val="both"/>
      </w:pPr>
      <w:r>
        <w:rPr>
          <w:rFonts w:ascii="Arial" w:hAnsi="Arial" w:cs="Arial"/>
          <w:sz w:val="24"/>
          <w:szCs w:val="24"/>
        </w:rPr>
        <w:t xml:space="preserve">Considerando que o vínculo entre os usuários membros da sociedade civil e a respectiva instituição, construído </w:t>
      </w:r>
      <w:r>
        <w:rPr>
          <w:rFonts w:ascii="Arial" w:hAnsi="Arial" w:cs="Arial"/>
          <w:sz w:val="24"/>
          <w:szCs w:val="24"/>
        </w:rPr>
        <w:t>em virtude de longo período de atuação, não pode ser desmerecido. E a necessidade de uma Ação essencial para suprir a necessidade de promoção de eventos alusivos ao natal e ao ano novo, destinadas a fomentar as vendas de seus associados e estimular o comer</w:t>
      </w:r>
      <w:r>
        <w:rPr>
          <w:rFonts w:ascii="Arial" w:hAnsi="Arial" w:cs="Arial"/>
          <w:sz w:val="24"/>
          <w:szCs w:val="24"/>
        </w:rPr>
        <w:t>cio em geral.</w:t>
      </w:r>
    </w:p>
    <w:p w:rsidR="00052324" w:rsidRDefault="00BC42D4">
      <w:pPr>
        <w:tabs>
          <w:tab w:val="left" w:pos="2130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na Lei Orçamentária Anual há previsão de orçamento, justifica-se a dispensa de chamamento público nos termos que segue: </w:t>
      </w:r>
    </w:p>
    <w:p w:rsidR="00052324" w:rsidRDefault="00BC42D4">
      <w:pPr>
        <w:tabs>
          <w:tab w:val="left" w:pos="2130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é de suma importância a dispensa de chamamento público, nos moldes da Lei Federal nº </w:t>
      </w:r>
      <w:r>
        <w:rPr>
          <w:rFonts w:ascii="Arial" w:hAnsi="Arial" w:cs="Arial"/>
          <w:sz w:val="24"/>
          <w:szCs w:val="24"/>
        </w:rPr>
        <w:t>13.019 de 31 de julho de 2014, em seu artigo 31 incisos I e II que assim dispõe:</w:t>
      </w:r>
    </w:p>
    <w:p w:rsidR="00052324" w:rsidRDefault="00BC42D4">
      <w:pPr>
        <w:spacing w:before="225" w:after="225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31.  Será considerado inexigível o chamamento público na hipótese de inviabilidade de competição entre as organizações da sociedade civil, em razão da natureza singular 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objeto da parceria ou se as </w:t>
      </w:r>
    </w:p>
    <w:p w:rsidR="00052324" w:rsidRDefault="00052324">
      <w:pPr>
        <w:spacing w:before="225" w:after="225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52324" w:rsidRDefault="00052324">
      <w:pPr>
        <w:spacing w:before="225" w:after="225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52324" w:rsidRDefault="00052324">
      <w:pPr>
        <w:spacing w:before="225" w:after="225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52324" w:rsidRDefault="00052324">
      <w:pPr>
        <w:spacing w:before="225" w:after="225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52324" w:rsidRDefault="00052324">
      <w:pPr>
        <w:spacing w:before="225" w:after="225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52324" w:rsidRDefault="00052324">
      <w:pPr>
        <w:spacing w:before="225" w:after="225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52324" w:rsidRDefault="00BC42D4">
      <w:pPr>
        <w:spacing w:before="225" w:after="225" w:line="240" w:lineRule="auto"/>
        <w:ind w:left="2268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metas somente puderem ser atingidas por uma entidade específica, especialmente quando: </w:t>
      </w:r>
    </w:p>
    <w:p w:rsidR="00052324" w:rsidRDefault="00BC42D4">
      <w:pPr>
        <w:spacing w:before="225" w:after="225" w:line="240" w:lineRule="auto"/>
        <w:ind w:left="2268"/>
        <w:jc w:val="both"/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II - a parceria decorrer de transferência para organização da sociedade civil que esteja autorizada em lei na qual seja identificad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a expressamente a entidade beneficiária, inclusive quando se tratar da subvenção prevista no </w:t>
      </w:r>
      <w:hyperlink r:id="rId5" w:anchor="art12§3i" w:history="1">
        <w:r>
          <w:rPr>
            <w:rStyle w:val="LinkdaInternet"/>
            <w:rFonts w:ascii="Arial" w:eastAsia="Times New Roman" w:hAnsi="Arial" w:cs="Arial"/>
            <w:b/>
            <w:sz w:val="20"/>
            <w:szCs w:val="20"/>
            <w:lang w:eastAsia="pt-BR"/>
          </w:rPr>
          <w:t>inciso I do § 3</w:t>
        </w:r>
      </w:hyperlink>
      <w:r>
        <w:rPr>
          <w:rStyle w:val="LinkdaInternet"/>
          <w:rFonts w:ascii="Arial" w:eastAsia="Times New Roman" w:hAnsi="Arial" w:cs="Arial"/>
          <w:b/>
          <w:sz w:val="20"/>
          <w:szCs w:val="20"/>
          <w:vertAlign w:val="superscript"/>
          <w:lang w:eastAsia="pt-BR"/>
        </w:rPr>
        <w:t>o</w:t>
      </w:r>
      <w:r>
        <w:rPr>
          <w:rStyle w:val="LinkdaInternet"/>
          <w:rFonts w:ascii="Arial" w:eastAsia="Times New Roman" w:hAnsi="Arial" w:cs="Arial"/>
          <w:b/>
          <w:sz w:val="20"/>
          <w:szCs w:val="20"/>
          <w:lang w:eastAsia="pt-BR"/>
        </w:rPr>
        <w:t>do art. 12 da Lei n</w:t>
      </w:r>
      <w:r>
        <w:rPr>
          <w:rStyle w:val="LinkdaInternet"/>
          <w:rFonts w:ascii="Arial" w:eastAsia="Times New Roman" w:hAnsi="Arial" w:cs="Arial"/>
          <w:b/>
          <w:sz w:val="20"/>
          <w:szCs w:val="20"/>
          <w:vertAlign w:val="superscript"/>
          <w:lang w:eastAsia="pt-BR"/>
        </w:rPr>
        <w:t>o</w:t>
      </w:r>
      <w:r>
        <w:rPr>
          <w:rStyle w:val="LinkdaInternet"/>
          <w:rFonts w:ascii="Arial" w:eastAsia="Times New Roman" w:hAnsi="Arial" w:cs="Arial"/>
          <w:b/>
          <w:sz w:val="20"/>
          <w:szCs w:val="20"/>
          <w:lang w:eastAsia="pt-BR"/>
        </w:rPr>
        <w:t> 4.320, de 17 de março de 1964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, observado o dis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posto no </w:t>
      </w:r>
      <w:hyperlink r:id="rId6" w:anchor="art26" w:history="1">
        <w:r>
          <w:rPr>
            <w:rStyle w:val="LinkdaInternet"/>
            <w:rFonts w:ascii="Arial" w:eastAsia="Times New Roman" w:hAnsi="Arial" w:cs="Arial"/>
            <w:b/>
            <w:sz w:val="20"/>
            <w:szCs w:val="20"/>
            <w:lang w:eastAsia="pt-BR"/>
          </w:rPr>
          <w:t>art. 26 da Lei Complementar n</w:t>
        </w:r>
      </w:hyperlink>
      <w:r>
        <w:rPr>
          <w:rStyle w:val="LinkdaInternet"/>
          <w:rFonts w:ascii="Arial" w:eastAsia="Times New Roman" w:hAnsi="Arial" w:cs="Arial"/>
          <w:b/>
          <w:sz w:val="20"/>
          <w:szCs w:val="20"/>
          <w:vertAlign w:val="superscript"/>
          <w:lang w:eastAsia="pt-BR"/>
        </w:rPr>
        <w:t>o</w:t>
      </w:r>
      <w:r>
        <w:rPr>
          <w:rStyle w:val="LinkdaInternet"/>
          <w:rFonts w:ascii="Arial" w:eastAsia="Times New Roman" w:hAnsi="Arial" w:cs="Arial"/>
          <w:b/>
          <w:sz w:val="20"/>
          <w:szCs w:val="20"/>
          <w:lang w:eastAsia="pt-BR"/>
        </w:rPr>
        <w:t> 101, de 4 de maio de 2000</w:t>
      </w:r>
      <w:r>
        <w:rPr>
          <w:rFonts w:ascii="Arial" w:eastAsia="Times New Roman" w:hAnsi="Arial" w:cs="Arial"/>
          <w:sz w:val="20"/>
          <w:szCs w:val="20"/>
          <w:lang w:eastAsia="pt-BR"/>
        </w:rPr>
        <w:t>. (grifo meu).</w:t>
      </w:r>
    </w:p>
    <w:p w:rsidR="00052324" w:rsidRDefault="00052324">
      <w:pPr>
        <w:spacing w:before="225" w:after="225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52324" w:rsidRDefault="00BC42D4">
      <w:pPr>
        <w:spacing w:before="225" w:after="225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Bem como o artigo. 32 que assim dispõe:</w:t>
      </w:r>
    </w:p>
    <w:p w:rsidR="00052324" w:rsidRDefault="00BC42D4">
      <w:pPr>
        <w:spacing w:before="225" w:after="225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32.  Nas hipóteses dos </w:t>
      </w:r>
      <w:proofErr w:type="spellStart"/>
      <w:r>
        <w:rPr>
          <w:rFonts w:ascii="Arial" w:hAnsi="Arial" w:cs="Arial"/>
          <w:sz w:val="20"/>
          <w:szCs w:val="20"/>
        </w:rPr>
        <w:t>arts</w:t>
      </w:r>
      <w:proofErr w:type="spellEnd"/>
      <w:r>
        <w:rPr>
          <w:rFonts w:ascii="Arial" w:hAnsi="Arial" w:cs="Arial"/>
          <w:sz w:val="20"/>
          <w:szCs w:val="20"/>
        </w:rPr>
        <w:t xml:space="preserve">. 30 e 31 desta Lei, a ausência de realização de chamamento público </w:t>
      </w:r>
      <w:r>
        <w:rPr>
          <w:rFonts w:ascii="Arial" w:hAnsi="Arial" w:cs="Arial"/>
          <w:b/>
          <w:sz w:val="20"/>
          <w:szCs w:val="20"/>
        </w:rPr>
        <w:t>será justificada pelo administrador público</w:t>
      </w:r>
      <w:bookmarkStart w:id="0" w:name="art32§1"/>
      <w:bookmarkEnd w:id="0"/>
      <w:r>
        <w:rPr>
          <w:rFonts w:ascii="Arial" w:hAnsi="Arial" w:cs="Arial"/>
          <w:sz w:val="20"/>
          <w:szCs w:val="20"/>
        </w:rPr>
        <w:t>. (grifo meu).            </w:t>
      </w:r>
    </w:p>
    <w:p w:rsidR="00052324" w:rsidRDefault="00052324">
      <w:pPr>
        <w:spacing w:before="225" w:after="225" w:line="240" w:lineRule="auto"/>
        <w:ind w:left="2268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052324" w:rsidRDefault="00BC42D4">
      <w:pPr>
        <w:tabs>
          <w:tab w:val="left" w:pos="2130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Sabe-se e é de pleno conhecimento deste gestor que o chamamento público deve ser </w:t>
      </w:r>
      <w:r>
        <w:rPr>
          <w:rFonts w:ascii="Arial" w:hAnsi="Arial" w:cs="Arial"/>
          <w:sz w:val="24"/>
          <w:szCs w:val="24"/>
        </w:rPr>
        <w:t>aplicado como regra geral. No entanto, diante de situações excepcionais, e quando devidamente amparadas em lei, pode-se aplicar a dispensa, como neste caso.</w:t>
      </w:r>
    </w:p>
    <w:p w:rsidR="00052324" w:rsidRDefault="00BC42D4">
      <w:pPr>
        <w:tabs>
          <w:tab w:val="left" w:pos="2130"/>
        </w:tabs>
        <w:ind w:firstLine="851"/>
        <w:jc w:val="both"/>
      </w:pPr>
      <w:r>
        <w:rPr>
          <w:rFonts w:ascii="Arial" w:hAnsi="Arial" w:cs="Arial"/>
          <w:sz w:val="24"/>
          <w:szCs w:val="24"/>
        </w:rPr>
        <w:t>Por essa razão, e cumpridos os requisitos do artigo 31 e demais constantes na Lei 13.019/2014, just</w:t>
      </w:r>
      <w:r>
        <w:rPr>
          <w:rFonts w:ascii="Arial" w:hAnsi="Arial" w:cs="Arial"/>
          <w:sz w:val="24"/>
          <w:szCs w:val="24"/>
        </w:rPr>
        <w:t>ifico a dispensa de chamamento público, para formalizar o presente Termo de Fomento, nos termos da minuta do Termo de Fomento e do Plano de Trabalho aprovado.</w:t>
      </w:r>
    </w:p>
    <w:p w:rsidR="00052324" w:rsidRDefault="00052324">
      <w:pPr>
        <w:tabs>
          <w:tab w:val="left" w:pos="213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052324" w:rsidRDefault="00052324">
      <w:pPr>
        <w:tabs>
          <w:tab w:val="left" w:pos="213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052324" w:rsidRDefault="00BC42D4">
      <w:pPr>
        <w:tabs>
          <w:tab w:val="left" w:pos="2130"/>
        </w:tabs>
        <w:ind w:firstLine="851"/>
        <w:jc w:val="right"/>
      </w:pPr>
      <w:r>
        <w:rPr>
          <w:rFonts w:ascii="Arial" w:hAnsi="Arial" w:cs="Arial"/>
          <w:sz w:val="24"/>
          <w:szCs w:val="24"/>
        </w:rPr>
        <w:t>Caçador, 22 de novembro de 2018.</w:t>
      </w:r>
    </w:p>
    <w:p w:rsidR="00052324" w:rsidRDefault="00052324">
      <w:pPr>
        <w:tabs>
          <w:tab w:val="left" w:pos="213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052324" w:rsidRDefault="00052324">
      <w:pPr>
        <w:tabs>
          <w:tab w:val="left" w:pos="213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052324" w:rsidRDefault="00052324">
      <w:pPr>
        <w:tabs>
          <w:tab w:val="left" w:pos="213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052324" w:rsidRDefault="00BC42D4">
      <w:pPr>
        <w:tabs>
          <w:tab w:val="left" w:pos="2130"/>
        </w:tabs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SAULO SPEROTTO</w:t>
      </w:r>
    </w:p>
    <w:p w:rsidR="00052324" w:rsidRDefault="00BC42D4">
      <w:pPr>
        <w:tabs>
          <w:tab w:val="left" w:pos="2130"/>
        </w:tabs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Prefeito Municipal</w:t>
      </w:r>
    </w:p>
    <w:sectPr w:rsidR="00052324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24"/>
    <w:rsid w:val="00052324"/>
    <w:rsid w:val="00BC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B4CFE-649F-44FD-8B43-F3DDCB14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24E04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E10F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E10F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nalto.gov.br/ccivil_03/LEIS/LCP/Lcp101.htm" TargetMode="External"/><Relationship Id="rId5" Type="http://schemas.openxmlformats.org/officeDocument/2006/relationships/hyperlink" Target="http://www.planalto.gov.br/ccivil_03/LEIS/L432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2FD1-4201-4D6C-9F32-C2BC6063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maq239</dc:creator>
  <dc:description/>
  <cp:lastModifiedBy>maq301</cp:lastModifiedBy>
  <cp:revision>2</cp:revision>
  <cp:lastPrinted>2018-11-22T14:05:00Z</cp:lastPrinted>
  <dcterms:created xsi:type="dcterms:W3CDTF">2018-11-29T19:30:00Z</dcterms:created>
  <dcterms:modified xsi:type="dcterms:W3CDTF">2018-11-29T19:30:00Z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