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F86" w:rsidRPr="006A554F" w:rsidRDefault="008B7EBD">
      <w:pPr>
        <w:pStyle w:val="P8"/>
        <w:spacing w:after="0" w:line="100" w:lineRule="atLeast"/>
        <w:jc w:val="center"/>
        <w:rPr>
          <w:rFonts w:ascii="Times New Roman" w:hAnsi="Times New Roman" w:cs="Times New Roman"/>
        </w:rPr>
      </w:pPr>
      <w:r w:rsidRPr="006A554F">
        <w:rPr>
          <w:rFonts w:ascii="Times New Roman" w:hAnsi="Times New Roman" w:cs="Times New Roman"/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2315210</wp:posOffset>
            </wp:positionH>
            <wp:positionV relativeFrom="paragraph">
              <wp:posOffset>-540385</wp:posOffset>
            </wp:positionV>
            <wp:extent cx="1670050" cy="60071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7F86" w:rsidRPr="006A554F" w:rsidRDefault="008B7EBD">
      <w:pPr>
        <w:pStyle w:val="P8"/>
        <w:spacing w:after="0" w:line="100" w:lineRule="atLeast"/>
        <w:jc w:val="center"/>
        <w:rPr>
          <w:rFonts w:ascii="Times New Roman" w:hAnsi="Times New Roman" w:cs="Times New Roman"/>
          <w:szCs w:val="24"/>
        </w:rPr>
      </w:pPr>
      <w:r w:rsidRPr="006A554F">
        <w:rPr>
          <w:rFonts w:ascii="Times New Roman" w:hAnsi="Times New Roman" w:cs="Times New Roman"/>
          <w:szCs w:val="24"/>
        </w:rPr>
        <w:t>ESTADO DE SANTA CATARINA</w:t>
      </w:r>
    </w:p>
    <w:p w:rsidR="00947F86" w:rsidRPr="006A554F" w:rsidRDefault="008B7EBD">
      <w:pPr>
        <w:pStyle w:val="P4"/>
        <w:spacing w:after="0" w:line="100" w:lineRule="atLeast"/>
        <w:jc w:val="center"/>
        <w:rPr>
          <w:rFonts w:ascii="Times New Roman" w:hAnsi="Times New Roman" w:cs="Times New Roman"/>
          <w:szCs w:val="24"/>
        </w:rPr>
      </w:pPr>
      <w:r w:rsidRPr="006A554F">
        <w:rPr>
          <w:rFonts w:ascii="Times New Roman" w:hAnsi="Times New Roman" w:cs="Times New Roman"/>
          <w:szCs w:val="24"/>
        </w:rPr>
        <w:t>PREFEITURA DE CAÇADOR</w:t>
      </w:r>
    </w:p>
    <w:p w:rsidR="00947F86" w:rsidRPr="006A554F" w:rsidRDefault="008B7EBD">
      <w:pPr>
        <w:pStyle w:val="P4"/>
        <w:spacing w:after="0" w:line="100" w:lineRule="atLeast"/>
        <w:jc w:val="center"/>
        <w:rPr>
          <w:rFonts w:ascii="Times New Roman" w:hAnsi="Times New Roman" w:cs="Times New Roman"/>
          <w:szCs w:val="24"/>
        </w:rPr>
      </w:pPr>
      <w:r w:rsidRPr="006A554F">
        <w:rPr>
          <w:rFonts w:ascii="Times New Roman" w:hAnsi="Times New Roman" w:cs="Times New Roman"/>
          <w:szCs w:val="24"/>
        </w:rPr>
        <w:t xml:space="preserve">COORDENADORIA DE LICITAÇÕES E CONTRATOS </w:t>
      </w:r>
    </w:p>
    <w:p w:rsidR="00947F86" w:rsidRPr="006A554F" w:rsidRDefault="00947F86">
      <w:pPr>
        <w:pStyle w:val="P4"/>
        <w:spacing w:after="0" w:line="100" w:lineRule="atLeast"/>
        <w:jc w:val="both"/>
        <w:rPr>
          <w:rFonts w:ascii="Times New Roman" w:hAnsi="Times New Roman" w:cs="Times New Roman"/>
        </w:rPr>
      </w:pPr>
    </w:p>
    <w:p w:rsidR="00947F86" w:rsidRPr="006A554F" w:rsidRDefault="00947F86">
      <w:pPr>
        <w:pStyle w:val="P4"/>
        <w:spacing w:after="0" w:line="100" w:lineRule="atLeast"/>
        <w:jc w:val="both"/>
        <w:rPr>
          <w:rFonts w:ascii="Times New Roman" w:hAnsi="Times New Roman" w:cs="Times New Roman"/>
          <w:szCs w:val="24"/>
        </w:rPr>
      </w:pPr>
    </w:p>
    <w:p w:rsidR="00947F86" w:rsidRPr="006A554F" w:rsidRDefault="00767694">
      <w:pPr>
        <w:spacing w:after="0" w:line="100" w:lineRule="atLeast"/>
        <w:jc w:val="center"/>
        <w:rPr>
          <w:rStyle w:val="T5"/>
          <w:rFonts w:ascii="Times New Roman" w:hAnsi="Times New Roman" w:cs="Times New Roman"/>
          <w:color w:val="000000"/>
          <w:u w:val="single"/>
        </w:rPr>
      </w:pPr>
      <w:r w:rsidRPr="006A554F">
        <w:rPr>
          <w:rStyle w:val="T5"/>
          <w:rFonts w:ascii="Times New Roman" w:hAnsi="Times New Roman" w:cs="Times New Roman"/>
          <w:color w:val="000000"/>
          <w:u w:val="single"/>
        </w:rPr>
        <w:t>AVISO DE ANULAÇÃO</w:t>
      </w:r>
      <w:r w:rsidR="008B7EBD" w:rsidRPr="006A554F">
        <w:rPr>
          <w:rStyle w:val="T5"/>
          <w:rFonts w:ascii="Times New Roman" w:hAnsi="Times New Roman" w:cs="Times New Roman"/>
          <w:color w:val="000000"/>
          <w:u w:val="single"/>
        </w:rPr>
        <w:t xml:space="preserve"> </w:t>
      </w:r>
    </w:p>
    <w:p w:rsidR="00947F86" w:rsidRPr="006A554F" w:rsidRDefault="00947F86">
      <w:pPr>
        <w:spacing w:after="0" w:line="100" w:lineRule="atLeast"/>
        <w:jc w:val="center"/>
        <w:rPr>
          <w:rFonts w:cs="Times New Roman"/>
        </w:rPr>
      </w:pPr>
    </w:p>
    <w:p w:rsidR="00947F86" w:rsidRPr="006A554F" w:rsidRDefault="008B7EBD">
      <w:pPr>
        <w:spacing w:after="0" w:line="100" w:lineRule="atLeast"/>
        <w:jc w:val="both"/>
        <w:rPr>
          <w:rFonts w:cs="Times New Roman"/>
          <w:color w:val="000000"/>
        </w:rPr>
      </w:pPr>
      <w:r w:rsidRPr="006A554F">
        <w:rPr>
          <w:rFonts w:cs="Times New Roman"/>
          <w:b/>
          <w:color w:val="000000"/>
        </w:rPr>
        <w:t xml:space="preserve">Fundamento Legal: </w:t>
      </w:r>
      <w:r w:rsidR="00767694" w:rsidRPr="006A554F">
        <w:rPr>
          <w:rFonts w:cs="Times New Roman"/>
          <w:color w:val="000000"/>
        </w:rPr>
        <w:t>D</w:t>
      </w:r>
      <w:r w:rsidRPr="006A554F">
        <w:rPr>
          <w:rFonts w:cs="Times New Roman"/>
          <w:color w:val="000000"/>
        </w:rPr>
        <w:t>isposto no art. 49 da Lei 8.666/93 e alterações subsequentes e nos termos da Súmula 473 do Supremo Tribunal Federal.</w:t>
      </w:r>
    </w:p>
    <w:p w:rsidR="00947F86" w:rsidRPr="006A554F" w:rsidRDefault="00947F86">
      <w:pPr>
        <w:spacing w:after="0" w:line="100" w:lineRule="atLeast"/>
        <w:jc w:val="both"/>
        <w:rPr>
          <w:rFonts w:cs="Times New Roman"/>
        </w:rPr>
      </w:pPr>
    </w:p>
    <w:p w:rsidR="00947F86" w:rsidRPr="006A554F" w:rsidRDefault="008B7EBD">
      <w:pPr>
        <w:spacing w:after="0" w:line="100" w:lineRule="atLeast"/>
        <w:jc w:val="both"/>
        <w:rPr>
          <w:rFonts w:cs="Times New Roman"/>
          <w:b/>
          <w:color w:val="000000"/>
        </w:rPr>
      </w:pPr>
      <w:r w:rsidRPr="006A554F">
        <w:rPr>
          <w:rFonts w:cs="Times New Roman"/>
          <w:b/>
          <w:color w:val="000000"/>
        </w:rPr>
        <w:t xml:space="preserve">PROCESSO LICITATÓRIO Nº </w:t>
      </w:r>
      <w:r w:rsidR="00767694" w:rsidRPr="006A554F">
        <w:rPr>
          <w:rFonts w:cs="Times New Roman"/>
          <w:b/>
          <w:color w:val="000000"/>
        </w:rPr>
        <w:t>142/2017</w:t>
      </w:r>
    </w:p>
    <w:p w:rsidR="00947F86" w:rsidRPr="006A554F" w:rsidRDefault="008B7EBD">
      <w:pPr>
        <w:spacing w:after="0" w:line="100" w:lineRule="atLeast"/>
        <w:jc w:val="both"/>
        <w:rPr>
          <w:rFonts w:cs="Times New Roman"/>
          <w:b/>
          <w:color w:val="000000"/>
        </w:rPr>
      </w:pPr>
      <w:r w:rsidRPr="006A554F">
        <w:rPr>
          <w:rFonts w:cs="Times New Roman"/>
          <w:b/>
          <w:color w:val="000000"/>
        </w:rPr>
        <w:t xml:space="preserve">EDITAL: PREGÃO PRESENCIAL Nº </w:t>
      </w:r>
      <w:r w:rsidR="00767694" w:rsidRPr="006A554F">
        <w:rPr>
          <w:rFonts w:cs="Times New Roman"/>
          <w:b/>
          <w:color w:val="000000"/>
        </w:rPr>
        <w:t>84/2017</w:t>
      </w:r>
    </w:p>
    <w:p w:rsidR="00947F86" w:rsidRPr="006A554F" w:rsidRDefault="008B7EBD">
      <w:pPr>
        <w:spacing w:after="0" w:line="100" w:lineRule="atLeast"/>
        <w:jc w:val="both"/>
        <w:rPr>
          <w:rFonts w:cs="Times New Roman"/>
          <w:color w:val="000000"/>
        </w:rPr>
      </w:pPr>
      <w:r w:rsidRPr="006A554F">
        <w:rPr>
          <w:rFonts w:cs="Times New Roman"/>
          <w:b/>
          <w:color w:val="000000"/>
        </w:rPr>
        <w:t xml:space="preserve">OBJETO: </w:t>
      </w:r>
      <w:r w:rsidR="00767694" w:rsidRPr="006A554F">
        <w:rPr>
          <w:rFonts w:cs="Times New Roman"/>
          <w:color w:val="000000"/>
        </w:rPr>
        <w:t>REGISTRO DE PREÇO PARA FUTURA E EVENTUAL AQUISIÇÃO E INSTALAÇÃO DE SALAS COMPOSTAS POR BLOCOS HABITACIONAIS, PARA ATENDER AS NECESSIDADES DA SECRETARIA MUNICIPAL DE EDUCAÇÃO.</w:t>
      </w:r>
    </w:p>
    <w:p w:rsidR="00947F86" w:rsidRPr="006A554F" w:rsidRDefault="00947F86">
      <w:pPr>
        <w:spacing w:after="0" w:line="100" w:lineRule="atLeast"/>
        <w:jc w:val="both"/>
        <w:rPr>
          <w:rFonts w:cs="Times New Roman"/>
          <w:color w:val="000000"/>
        </w:rPr>
      </w:pPr>
    </w:p>
    <w:p w:rsidR="00947F86" w:rsidRPr="006D35A8" w:rsidRDefault="00767694" w:rsidP="006D35A8">
      <w:pPr>
        <w:spacing w:after="0" w:line="100" w:lineRule="atLeast"/>
        <w:jc w:val="both"/>
        <w:rPr>
          <w:rFonts w:cs="Times New Roman"/>
          <w:color w:val="000000"/>
        </w:rPr>
      </w:pPr>
      <w:r w:rsidRPr="006A554F">
        <w:rPr>
          <w:rFonts w:cs="Times New Roman"/>
          <w:color w:val="000000"/>
        </w:rPr>
        <w:t>O Prefeito Municipal</w:t>
      </w:r>
      <w:r w:rsidR="00246BB1">
        <w:rPr>
          <w:rFonts w:cs="Times New Roman"/>
          <w:color w:val="000000"/>
        </w:rPr>
        <w:t xml:space="preserve">, Saulo </w:t>
      </w:r>
      <w:proofErr w:type="spellStart"/>
      <w:r w:rsidR="00246BB1">
        <w:rPr>
          <w:rFonts w:cs="Times New Roman"/>
          <w:color w:val="000000"/>
        </w:rPr>
        <w:t>Sperotto</w:t>
      </w:r>
      <w:proofErr w:type="spellEnd"/>
      <w:r w:rsidR="00246BB1">
        <w:rPr>
          <w:rFonts w:cs="Times New Roman"/>
          <w:color w:val="000000"/>
        </w:rPr>
        <w:t>,</w:t>
      </w:r>
      <w:r w:rsidR="00650E9A">
        <w:rPr>
          <w:rFonts w:cs="Times New Roman"/>
          <w:color w:val="000000"/>
        </w:rPr>
        <w:t xml:space="preserve"> no uso de suas atribuições conferidas pela Lei Orgânica Municipal</w:t>
      </w:r>
      <w:r w:rsidR="008B7EBD" w:rsidRPr="006A554F">
        <w:rPr>
          <w:rFonts w:cs="Times New Roman"/>
          <w:color w:val="000000"/>
        </w:rPr>
        <w:t>,</w:t>
      </w:r>
      <w:r w:rsidR="00246BB1">
        <w:rPr>
          <w:rFonts w:cs="Times New Roman"/>
          <w:color w:val="000000"/>
        </w:rPr>
        <w:t xml:space="preserve"> com amparo legal no art. 49 da Lei Federal 8.666/93</w:t>
      </w:r>
      <w:r w:rsidR="00A16CC3">
        <w:rPr>
          <w:rFonts w:cs="Times New Roman"/>
          <w:color w:val="000000"/>
        </w:rPr>
        <w:t>,</w:t>
      </w:r>
      <w:r w:rsidR="008B7EBD" w:rsidRPr="006A554F">
        <w:rPr>
          <w:rFonts w:cs="Times New Roman"/>
          <w:color w:val="000000"/>
        </w:rPr>
        <w:t xml:space="preserve"> considerando</w:t>
      </w:r>
      <w:r w:rsidR="006D35A8">
        <w:rPr>
          <w:rFonts w:cs="Times New Roman"/>
          <w:color w:val="000000"/>
        </w:rPr>
        <w:t xml:space="preserve"> a </w:t>
      </w:r>
      <w:r w:rsidR="00550076" w:rsidRPr="006A554F">
        <w:rPr>
          <w:rFonts w:cs="Times New Roman"/>
        </w:rPr>
        <w:t xml:space="preserve">decisão </w:t>
      </w:r>
      <w:r w:rsidR="00650E9A">
        <w:rPr>
          <w:rFonts w:cs="Times New Roman"/>
        </w:rPr>
        <w:t xml:space="preserve">proferida </w:t>
      </w:r>
      <w:r w:rsidR="00A16CC3">
        <w:rPr>
          <w:rFonts w:cs="Times New Roman"/>
        </w:rPr>
        <w:t>pelo</w:t>
      </w:r>
      <w:r w:rsidR="00650E9A">
        <w:rPr>
          <w:rFonts w:cs="Times New Roman"/>
        </w:rPr>
        <w:t xml:space="preserve"> </w:t>
      </w:r>
      <w:r w:rsidR="00650E9A">
        <w:t>Tribunal de Santa Catarina</w:t>
      </w:r>
      <w:r w:rsidR="00650E9A">
        <w:t xml:space="preserve"> </w:t>
      </w:r>
      <w:r w:rsidR="00A16CC3">
        <w:t>no</w:t>
      </w:r>
      <w:r w:rsidR="00650E9A">
        <w:t xml:space="preserve"> </w:t>
      </w:r>
      <w:r w:rsidR="00CA590E">
        <w:t>Processo @LCC17/00734757</w:t>
      </w:r>
      <w:r w:rsidR="00A16CC3">
        <w:t xml:space="preserve">, </w:t>
      </w:r>
      <w:r w:rsidR="00550076" w:rsidRPr="006A554F">
        <w:rPr>
          <w:rFonts w:cs="Times New Roman"/>
        </w:rPr>
        <w:t>diante dos motivos enumerados pela decisão do Relator</w:t>
      </w:r>
      <w:r w:rsidR="00A16CC3">
        <w:rPr>
          <w:rFonts w:cs="Times New Roman"/>
        </w:rPr>
        <w:t>:</w:t>
      </w:r>
    </w:p>
    <w:p w:rsidR="006A554F" w:rsidRDefault="006A554F" w:rsidP="006A554F">
      <w:pPr>
        <w:suppressAutoHyphens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eastAsiaTheme="minorEastAsia" w:cs="Times New Roman"/>
          <w:b/>
          <w:bCs/>
          <w:i/>
          <w:sz w:val="22"/>
          <w:szCs w:val="22"/>
          <w:lang w:eastAsia="pt-BR" w:bidi="ar-SA"/>
        </w:rPr>
      </w:pPr>
    </w:p>
    <w:p w:rsidR="00550076" w:rsidRPr="006A554F" w:rsidRDefault="00550076" w:rsidP="006A554F">
      <w:pPr>
        <w:suppressAutoHyphens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eastAsiaTheme="minorEastAsia" w:cs="Times New Roman"/>
          <w:i/>
          <w:sz w:val="22"/>
          <w:szCs w:val="22"/>
          <w:lang w:eastAsia="pt-BR" w:bidi="ar-SA"/>
        </w:rPr>
      </w:pPr>
      <w:r w:rsidRPr="006A554F">
        <w:rPr>
          <w:rFonts w:eastAsiaTheme="minorEastAsia" w:cs="Times New Roman"/>
          <w:b/>
          <w:bCs/>
          <w:i/>
          <w:sz w:val="22"/>
          <w:szCs w:val="22"/>
          <w:lang w:eastAsia="pt-BR" w:bidi="ar-SA"/>
        </w:rPr>
        <w:t xml:space="preserve">1. </w:t>
      </w:r>
      <w:r w:rsidRPr="006A554F">
        <w:rPr>
          <w:rFonts w:eastAsiaTheme="minorEastAsia" w:cs="Times New Roman"/>
          <w:i/>
          <w:sz w:val="22"/>
          <w:szCs w:val="22"/>
          <w:lang w:eastAsia="pt-BR" w:bidi="ar-SA"/>
        </w:rPr>
        <w:t xml:space="preserve">Considerar irregular, com fundamento no art. 8º, inciso II, da Instrução Normativa n. TC- 0021/2015, o Edital do Pregão Presencial n. 84/2017, lançado pela Prefeitura Municipal de Caçador com vistas “registro de preço para futura e eventual aquisição e instalação de salas compostas por blocos habitacionais, para atender as necessidades da Secretaria Municipal de Educação”, em face </w:t>
      </w:r>
      <w:proofErr w:type="spellStart"/>
      <w:r w:rsidRPr="006A554F">
        <w:rPr>
          <w:rFonts w:eastAsiaTheme="minorEastAsia" w:cs="Times New Roman"/>
          <w:i/>
          <w:sz w:val="22"/>
          <w:szCs w:val="22"/>
          <w:lang w:eastAsia="pt-BR" w:bidi="ar-SA"/>
        </w:rPr>
        <w:t>dasirregularidades</w:t>
      </w:r>
      <w:proofErr w:type="spellEnd"/>
      <w:r w:rsidRPr="006A554F">
        <w:rPr>
          <w:rFonts w:eastAsiaTheme="minorEastAsia" w:cs="Times New Roman"/>
          <w:i/>
          <w:sz w:val="22"/>
          <w:szCs w:val="22"/>
          <w:lang w:eastAsia="pt-BR" w:bidi="ar-SA"/>
        </w:rPr>
        <w:t xml:space="preserve"> elencadas nos itens 3.1.1 a 3.1.5 da conclusão do Relatório n. DLC-200/2018.</w:t>
      </w:r>
    </w:p>
    <w:p w:rsidR="00550076" w:rsidRPr="006A554F" w:rsidRDefault="00550076" w:rsidP="006A554F">
      <w:pPr>
        <w:suppressAutoHyphens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eastAsiaTheme="minorEastAsia" w:cs="Times New Roman"/>
          <w:i/>
          <w:sz w:val="22"/>
          <w:szCs w:val="22"/>
          <w:lang w:eastAsia="pt-BR" w:bidi="ar-SA"/>
        </w:rPr>
      </w:pPr>
      <w:r w:rsidRPr="006A554F">
        <w:rPr>
          <w:rFonts w:eastAsiaTheme="minorEastAsia" w:cs="Times New Roman"/>
          <w:b/>
          <w:bCs/>
          <w:i/>
          <w:color w:val="000000"/>
          <w:sz w:val="22"/>
          <w:szCs w:val="22"/>
          <w:lang w:eastAsia="pt-BR" w:bidi="ar-SA"/>
        </w:rPr>
        <w:t xml:space="preserve">2. </w:t>
      </w:r>
      <w:r w:rsidRPr="006A554F">
        <w:rPr>
          <w:rFonts w:eastAsiaTheme="minorEastAsia" w:cs="Times New Roman"/>
          <w:i/>
          <w:color w:val="000000"/>
          <w:sz w:val="22"/>
          <w:szCs w:val="22"/>
          <w:lang w:eastAsia="pt-BR" w:bidi="ar-SA"/>
        </w:rPr>
        <w:t xml:space="preserve">Determinar, com fundamento no art. 8º, II, da IN TC-0021/2015, à </w:t>
      </w:r>
      <w:r w:rsidRPr="006A554F">
        <w:rPr>
          <w:rFonts w:eastAsiaTheme="minorEastAsia" w:cs="Times New Roman"/>
          <w:b/>
          <w:bCs/>
          <w:i/>
          <w:iCs/>
          <w:color w:val="000000"/>
          <w:sz w:val="22"/>
          <w:szCs w:val="22"/>
          <w:lang w:eastAsia="pt-BR" w:bidi="ar-SA"/>
        </w:rPr>
        <w:t>Prefeitura Municipal de</w:t>
      </w:r>
      <w:r w:rsidRPr="006A554F">
        <w:rPr>
          <w:rFonts w:eastAsiaTheme="minorEastAsia" w:cs="Times New Roman"/>
          <w:i/>
          <w:sz w:val="22"/>
          <w:szCs w:val="22"/>
          <w:lang w:eastAsia="pt-BR" w:bidi="ar-SA"/>
        </w:rPr>
        <w:t xml:space="preserve"> </w:t>
      </w:r>
      <w:r w:rsidRPr="006A554F">
        <w:rPr>
          <w:rFonts w:eastAsiaTheme="minorEastAsia" w:cs="Times New Roman"/>
          <w:b/>
          <w:bCs/>
          <w:i/>
          <w:iCs/>
          <w:color w:val="000000"/>
          <w:sz w:val="22"/>
          <w:szCs w:val="22"/>
          <w:lang w:eastAsia="pt-BR" w:bidi="ar-SA"/>
        </w:rPr>
        <w:t xml:space="preserve">Caçador </w:t>
      </w:r>
      <w:r w:rsidRPr="006A554F">
        <w:rPr>
          <w:rFonts w:eastAsiaTheme="minorEastAsia" w:cs="Times New Roman"/>
          <w:i/>
          <w:color w:val="000000"/>
          <w:sz w:val="22"/>
          <w:szCs w:val="22"/>
          <w:lang w:eastAsia="pt-BR" w:bidi="ar-SA"/>
        </w:rPr>
        <w:t>que adote providências visando à ANULAÇÃO do procedimento licitatório do Edital de Pregão</w:t>
      </w:r>
      <w:r w:rsidRPr="006A554F">
        <w:rPr>
          <w:rFonts w:eastAsiaTheme="minorEastAsia" w:cs="Times New Roman"/>
          <w:i/>
          <w:sz w:val="22"/>
          <w:szCs w:val="22"/>
          <w:lang w:eastAsia="pt-BR" w:bidi="ar-SA"/>
        </w:rPr>
        <w:t xml:space="preserve"> </w:t>
      </w:r>
      <w:r w:rsidRPr="006A554F">
        <w:rPr>
          <w:rFonts w:eastAsiaTheme="minorEastAsia" w:cs="Times New Roman"/>
          <w:i/>
          <w:color w:val="000000"/>
          <w:sz w:val="22"/>
          <w:szCs w:val="22"/>
          <w:lang w:eastAsia="pt-BR" w:bidi="ar-SA"/>
        </w:rPr>
        <w:t>Presencial n.084/2017, com fundamento no art. 49, caput, da Lei n. 8.666/93, observando o disposto nos</w:t>
      </w:r>
      <w:r w:rsidRPr="006A554F">
        <w:rPr>
          <w:rFonts w:eastAsiaTheme="minorEastAsia" w:cs="Times New Roman"/>
          <w:i/>
          <w:sz w:val="22"/>
          <w:szCs w:val="22"/>
          <w:lang w:eastAsia="pt-BR" w:bidi="ar-SA"/>
        </w:rPr>
        <w:t xml:space="preserve"> </w:t>
      </w:r>
      <w:r w:rsidRPr="006A554F">
        <w:rPr>
          <w:rFonts w:eastAsiaTheme="minorEastAsia" w:cs="Times New Roman"/>
          <w:i/>
          <w:color w:val="000000"/>
          <w:sz w:val="22"/>
          <w:szCs w:val="22"/>
          <w:lang w:eastAsia="pt-BR" w:bidi="ar-SA"/>
        </w:rPr>
        <w:t>§§ 1º, 2º e 3ºdo referido dispositivo legal, e encaminhe ao Tribunal de Contas cópia do ato de anulação e</w:t>
      </w:r>
      <w:r w:rsidRPr="006A554F">
        <w:rPr>
          <w:rFonts w:eastAsiaTheme="minorEastAsia" w:cs="Times New Roman"/>
          <w:i/>
          <w:sz w:val="22"/>
          <w:szCs w:val="22"/>
          <w:lang w:eastAsia="pt-BR" w:bidi="ar-SA"/>
        </w:rPr>
        <w:t xml:space="preserve"> </w:t>
      </w:r>
      <w:r w:rsidRPr="006A554F">
        <w:rPr>
          <w:rFonts w:eastAsiaTheme="minorEastAsia" w:cs="Times New Roman"/>
          <w:i/>
          <w:color w:val="000000"/>
          <w:sz w:val="22"/>
          <w:szCs w:val="22"/>
          <w:lang w:eastAsia="pt-BR" w:bidi="ar-SA"/>
        </w:rPr>
        <w:t xml:space="preserve">de sua publicação, no </w:t>
      </w:r>
      <w:r w:rsidRPr="006A554F">
        <w:rPr>
          <w:rFonts w:eastAsiaTheme="minorEastAsia" w:cs="Times New Roman"/>
          <w:b/>
          <w:bCs/>
          <w:i/>
          <w:iCs/>
          <w:color w:val="000000"/>
          <w:sz w:val="22"/>
          <w:szCs w:val="22"/>
          <w:lang w:eastAsia="pt-BR" w:bidi="ar-SA"/>
        </w:rPr>
        <w:t>prazo de 30 (trinta) dias</w:t>
      </w:r>
      <w:r w:rsidRPr="006A554F">
        <w:rPr>
          <w:rFonts w:eastAsiaTheme="minorEastAsia" w:cs="Times New Roman"/>
          <w:i/>
          <w:color w:val="000000"/>
          <w:sz w:val="22"/>
          <w:szCs w:val="22"/>
          <w:lang w:eastAsia="pt-BR" w:bidi="ar-SA"/>
        </w:rPr>
        <w:t>, em face das seguintes irregularidades:</w:t>
      </w:r>
    </w:p>
    <w:p w:rsidR="00550076" w:rsidRPr="006A554F" w:rsidRDefault="00550076" w:rsidP="006A554F">
      <w:pPr>
        <w:suppressAutoHyphens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eastAsiaTheme="minorEastAsia" w:cs="Times New Roman"/>
          <w:i/>
          <w:color w:val="000000"/>
          <w:sz w:val="22"/>
          <w:szCs w:val="22"/>
          <w:lang w:eastAsia="pt-BR" w:bidi="ar-SA"/>
        </w:rPr>
      </w:pPr>
      <w:r w:rsidRPr="006A554F">
        <w:rPr>
          <w:rFonts w:eastAsiaTheme="minorEastAsia" w:cs="Times New Roman"/>
          <w:b/>
          <w:bCs/>
          <w:i/>
          <w:color w:val="000000"/>
          <w:sz w:val="22"/>
          <w:szCs w:val="22"/>
          <w:lang w:eastAsia="pt-BR" w:bidi="ar-SA"/>
        </w:rPr>
        <w:t>2.1</w:t>
      </w:r>
      <w:r w:rsidRPr="006A554F">
        <w:rPr>
          <w:rFonts w:eastAsiaTheme="minorEastAsia" w:cs="Times New Roman"/>
          <w:i/>
          <w:color w:val="000000"/>
          <w:sz w:val="22"/>
          <w:szCs w:val="22"/>
          <w:lang w:eastAsia="pt-BR" w:bidi="ar-SA"/>
        </w:rPr>
        <w:t>. Projeto básico incompleto, contrariando o art. 6º, IX c/c § 2º do art. 7º da Lei Federal n. 8.666/1993 (item 3.1.1 da conclusão do Relatório n. 200/2018);</w:t>
      </w:r>
    </w:p>
    <w:p w:rsidR="00550076" w:rsidRPr="006A554F" w:rsidRDefault="00550076" w:rsidP="006A554F">
      <w:pPr>
        <w:suppressAutoHyphens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eastAsiaTheme="minorEastAsia" w:cs="Times New Roman"/>
          <w:i/>
          <w:color w:val="000000"/>
          <w:sz w:val="22"/>
          <w:szCs w:val="22"/>
          <w:lang w:eastAsia="pt-BR" w:bidi="ar-SA"/>
        </w:rPr>
      </w:pPr>
      <w:r w:rsidRPr="006A554F">
        <w:rPr>
          <w:rFonts w:eastAsiaTheme="minorEastAsia" w:cs="Times New Roman"/>
          <w:b/>
          <w:bCs/>
          <w:i/>
          <w:color w:val="000000"/>
          <w:sz w:val="22"/>
          <w:szCs w:val="22"/>
          <w:lang w:eastAsia="pt-BR" w:bidi="ar-SA"/>
        </w:rPr>
        <w:t xml:space="preserve">2.2. </w:t>
      </w:r>
      <w:r w:rsidRPr="006A554F">
        <w:rPr>
          <w:rFonts w:eastAsiaTheme="minorEastAsia" w:cs="Times New Roman"/>
          <w:i/>
          <w:color w:val="000000"/>
          <w:sz w:val="22"/>
          <w:szCs w:val="22"/>
          <w:lang w:eastAsia="pt-BR" w:bidi="ar-SA"/>
        </w:rPr>
        <w:t>Utilização indevida de pregão visando registro de preços para contratação de obras e serviços de engenharia, em afronta ao art. 7º, § 2º e 4º da Lei Federal n. 8.666/1993, combinados com os artigos 1º e 3º do Decreto n. 7.892/2013 (item 3.1.2 da conclusão do Relatório n. 200/2018);</w:t>
      </w:r>
    </w:p>
    <w:p w:rsidR="00550076" w:rsidRPr="006A554F" w:rsidRDefault="00550076" w:rsidP="006A554F">
      <w:pPr>
        <w:suppressAutoHyphens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eastAsiaTheme="minorEastAsia" w:cs="Times New Roman"/>
          <w:i/>
          <w:color w:val="000000"/>
          <w:sz w:val="22"/>
          <w:szCs w:val="22"/>
          <w:lang w:eastAsia="pt-BR" w:bidi="ar-SA"/>
        </w:rPr>
      </w:pPr>
      <w:r w:rsidRPr="006A554F">
        <w:rPr>
          <w:rFonts w:eastAsiaTheme="minorEastAsia" w:cs="Times New Roman"/>
          <w:b/>
          <w:bCs/>
          <w:i/>
          <w:color w:val="000000"/>
          <w:sz w:val="22"/>
          <w:szCs w:val="22"/>
          <w:lang w:eastAsia="pt-BR" w:bidi="ar-SA"/>
        </w:rPr>
        <w:t xml:space="preserve">2.3. </w:t>
      </w:r>
      <w:r w:rsidRPr="006A554F">
        <w:rPr>
          <w:rFonts w:eastAsiaTheme="minorEastAsia" w:cs="Times New Roman"/>
          <w:i/>
          <w:color w:val="000000"/>
          <w:sz w:val="22"/>
          <w:szCs w:val="22"/>
          <w:lang w:eastAsia="pt-BR" w:bidi="ar-SA"/>
        </w:rPr>
        <w:t>Orçamento básico deficiente, contrariando o art. 6º, IX c/c § 2º do art. 7ºda Lei Federal n. 8.666/1993 (item 3.1.3 da conclusão do Relatório n. 200/2018);</w:t>
      </w:r>
    </w:p>
    <w:p w:rsidR="00550076" w:rsidRPr="006A554F" w:rsidRDefault="00550076" w:rsidP="006A554F">
      <w:pPr>
        <w:suppressAutoHyphens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eastAsiaTheme="minorEastAsia" w:cs="Times New Roman"/>
          <w:i/>
          <w:color w:val="000000"/>
          <w:sz w:val="22"/>
          <w:szCs w:val="22"/>
          <w:lang w:eastAsia="pt-BR" w:bidi="ar-SA"/>
        </w:rPr>
      </w:pPr>
      <w:r w:rsidRPr="006A554F">
        <w:rPr>
          <w:rFonts w:eastAsiaTheme="minorEastAsia" w:cs="Times New Roman"/>
          <w:b/>
          <w:bCs/>
          <w:i/>
          <w:color w:val="000000"/>
          <w:sz w:val="22"/>
          <w:szCs w:val="22"/>
          <w:lang w:eastAsia="pt-BR" w:bidi="ar-SA"/>
        </w:rPr>
        <w:t xml:space="preserve">2.4. </w:t>
      </w:r>
      <w:r w:rsidRPr="006A554F">
        <w:rPr>
          <w:rFonts w:eastAsiaTheme="minorEastAsia" w:cs="Times New Roman"/>
          <w:i/>
          <w:color w:val="000000"/>
          <w:sz w:val="22"/>
          <w:szCs w:val="22"/>
          <w:lang w:eastAsia="pt-BR" w:bidi="ar-SA"/>
        </w:rPr>
        <w:t>Ausência de critério de aceitabilidade de preços máximos unitários, em afronta ao art. 40 da Lei Federal nº 8.666/1993, combinados com o art. 3º, I da Lei Federal nº10.520/2002 e com a Súmula 259/2010 do TCU (item 3.1.4 da conclusão do Relatório n. 200/2018);</w:t>
      </w:r>
    </w:p>
    <w:p w:rsidR="00550076" w:rsidRPr="006A554F" w:rsidRDefault="00550076" w:rsidP="006A554F">
      <w:pPr>
        <w:suppressAutoHyphens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eastAsiaTheme="minorEastAsia" w:cs="Times New Roman"/>
          <w:i/>
          <w:color w:val="000000"/>
          <w:sz w:val="22"/>
          <w:szCs w:val="22"/>
          <w:lang w:eastAsia="pt-BR" w:bidi="ar-SA"/>
        </w:rPr>
      </w:pPr>
      <w:r w:rsidRPr="006A554F">
        <w:rPr>
          <w:rFonts w:eastAsiaTheme="minorEastAsia" w:cs="Times New Roman"/>
          <w:b/>
          <w:bCs/>
          <w:i/>
          <w:color w:val="000000"/>
          <w:sz w:val="22"/>
          <w:szCs w:val="22"/>
          <w:lang w:eastAsia="pt-BR" w:bidi="ar-SA"/>
        </w:rPr>
        <w:t xml:space="preserve">2.5. </w:t>
      </w:r>
      <w:r w:rsidRPr="006A554F">
        <w:rPr>
          <w:rFonts w:eastAsiaTheme="minorEastAsia" w:cs="Times New Roman"/>
          <w:i/>
          <w:color w:val="000000"/>
          <w:sz w:val="22"/>
          <w:szCs w:val="22"/>
          <w:lang w:eastAsia="pt-BR" w:bidi="ar-SA"/>
        </w:rPr>
        <w:t xml:space="preserve">Ausência de Anotação de Responsabilidade Técnica (ART), em desacordo com o art. 1º da Lei Federal n. 6.496/77 c/c art. 2º e art. 3º e seu parágrafo único da resolução </w:t>
      </w:r>
      <w:proofErr w:type="spellStart"/>
      <w:r w:rsidRPr="006A554F">
        <w:rPr>
          <w:rFonts w:eastAsiaTheme="minorEastAsia" w:cs="Times New Roman"/>
          <w:i/>
          <w:color w:val="000000"/>
          <w:sz w:val="22"/>
          <w:szCs w:val="22"/>
          <w:lang w:eastAsia="pt-BR" w:bidi="ar-SA"/>
        </w:rPr>
        <w:t>Confea</w:t>
      </w:r>
      <w:proofErr w:type="spellEnd"/>
      <w:r w:rsidRPr="006A554F">
        <w:rPr>
          <w:rFonts w:eastAsiaTheme="minorEastAsia" w:cs="Times New Roman"/>
          <w:i/>
          <w:color w:val="000000"/>
          <w:sz w:val="22"/>
          <w:szCs w:val="22"/>
          <w:lang w:eastAsia="pt-BR" w:bidi="ar-SA"/>
        </w:rPr>
        <w:t xml:space="preserve"> 1.025/2009 (item 3.1.5 da conclusão do</w:t>
      </w:r>
      <w:r w:rsidR="006A554F" w:rsidRPr="006A554F">
        <w:rPr>
          <w:rFonts w:eastAsiaTheme="minorEastAsia" w:cs="Times New Roman"/>
          <w:i/>
          <w:color w:val="000000"/>
          <w:sz w:val="22"/>
          <w:szCs w:val="22"/>
          <w:lang w:eastAsia="pt-BR" w:bidi="ar-SA"/>
        </w:rPr>
        <w:t xml:space="preserve"> </w:t>
      </w:r>
      <w:r w:rsidRPr="006A554F">
        <w:rPr>
          <w:rFonts w:eastAsiaTheme="minorEastAsia" w:cs="Times New Roman"/>
          <w:i/>
          <w:color w:val="000000"/>
          <w:sz w:val="22"/>
          <w:szCs w:val="22"/>
          <w:lang w:eastAsia="pt-BR" w:bidi="ar-SA"/>
        </w:rPr>
        <w:t>Relatório n. 200/2018).</w:t>
      </w:r>
    </w:p>
    <w:p w:rsidR="00550076" w:rsidRPr="006A554F" w:rsidRDefault="00550076" w:rsidP="006A554F">
      <w:pPr>
        <w:suppressAutoHyphens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eastAsiaTheme="minorEastAsia" w:cs="Times New Roman"/>
          <w:i/>
          <w:color w:val="000000"/>
          <w:sz w:val="22"/>
          <w:szCs w:val="22"/>
          <w:lang w:eastAsia="pt-BR" w:bidi="ar-SA"/>
        </w:rPr>
      </w:pPr>
      <w:r w:rsidRPr="006A554F">
        <w:rPr>
          <w:rFonts w:eastAsiaTheme="minorEastAsia" w:cs="Times New Roman"/>
          <w:b/>
          <w:bCs/>
          <w:i/>
          <w:color w:val="000000"/>
          <w:sz w:val="22"/>
          <w:szCs w:val="22"/>
          <w:lang w:eastAsia="pt-BR" w:bidi="ar-SA"/>
        </w:rPr>
        <w:t xml:space="preserve">3. </w:t>
      </w:r>
      <w:r w:rsidRPr="006A554F">
        <w:rPr>
          <w:rFonts w:eastAsiaTheme="minorEastAsia" w:cs="Times New Roman"/>
          <w:i/>
          <w:color w:val="000000"/>
          <w:sz w:val="22"/>
          <w:szCs w:val="22"/>
          <w:lang w:eastAsia="pt-BR" w:bidi="ar-SA"/>
        </w:rPr>
        <w:t xml:space="preserve">Dar </w:t>
      </w:r>
      <w:proofErr w:type="spellStart"/>
      <w:r w:rsidRPr="006A554F">
        <w:rPr>
          <w:rFonts w:eastAsiaTheme="minorEastAsia" w:cs="Times New Roman"/>
          <w:i/>
          <w:color w:val="000000"/>
          <w:sz w:val="22"/>
          <w:szCs w:val="22"/>
          <w:lang w:eastAsia="pt-BR" w:bidi="ar-SA"/>
        </w:rPr>
        <w:t>ciênca</w:t>
      </w:r>
      <w:proofErr w:type="spellEnd"/>
      <w:r w:rsidRPr="006A554F">
        <w:rPr>
          <w:rFonts w:eastAsiaTheme="minorEastAsia" w:cs="Times New Roman"/>
          <w:i/>
          <w:color w:val="000000"/>
          <w:sz w:val="22"/>
          <w:szCs w:val="22"/>
          <w:lang w:eastAsia="pt-BR" w:bidi="ar-SA"/>
        </w:rPr>
        <w:t xml:space="preserve"> desta Decisão, do Relatório e Voto do Relator que a fundamentam, bem como do</w:t>
      </w:r>
      <w:r w:rsidR="006A554F" w:rsidRPr="006A554F">
        <w:rPr>
          <w:rFonts w:eastAsiaTheme="minorEastAsia" w:cs="Times New Roman"/>
          <w:i/>
          <w:color w:val="000000"/>
          <w:sz w:val="22"/>
          <w:szCs w:val="22"/>
          <w:lang w:eastAsia="pt-BR" w:bidi="ar-SA"/>
        </w:rPr>
        <w:t xml:space="preserve"> </w:t>
      </w:r>
      <w:r w:rsidRPr="006A554F">
        <w:rPr>
          <w:rFonts w:eastAsiaTheme="minorEastAsia" w:cs="Times New Roman"/>
          <w:i/>
          <w:color w:val="000000"/>
          <w:sz w:val="22"/>
          <w:szCs w:val="22"/>
          <w:lang w:eastAsia="pt-BR" w:bidi="ar-SA"/>
        </w:rPr>
        <w:t>Relatório nº DLC 200/2018 - à Prefeitura Municipal de Caçador, à Assessoria Jurídica e ao Controle</w:t>
      </w:r>
      <w:r w:rsidR="006A554F" w:rsidRPr="006A554F">
        <w:rPr>
          <w:rFonts w:eastAsiaTheme="minorEastAsia" w:cs="Times New Roman"/>
          <w:i/>
          <w:color w:val="000000"/>
          <w:sz w:val="22"/>
          <w:szCs w:val="22"/>
          <w:lang w:eastAsia="pt-BR" w:bidi="ar-SA"/>
        </w:rPr>
        <w:t xml:space="preserve"> </w:t>
      </w:r>
      <w:r w:rsidRPr="006A554F">
        <w:rPr>
          <w:rFonts w:eastAsiaTheme="minorEastAsia" w:cs="Times New Roman"/>
          <w:i/>
          <w:color w:val="000000"/>
          <w:sz w:val="22"/>
          <w:szCs w:val="22"/>
          <w:lang w:eastAsia="pt-BR" w:bidi="ar-SA"/>
        </w:rPr>
        <w:t>Interno do Município De Caçador.</w:t>
      </w:r>
    </w:p>
    <w:p w:rsidR="006A554F" w:rsidRDefault="006A554F">
      <w:pPr>
        <w:spacing w:after="0" w:line="100" w:lineRule="atLeast"/>
        <w:jc w:val="both"/>
        <w:rPr>
          <w:rFonts w:cs="Times New Roman"/>
          <w:color w:val="000000"/>
        </w:rPr>
      </w:pPr>
    </w:p>
    <w:p w:rsidR="00947F86" w:rsidRPr="006A554F" w:rsidRDefault="00550076">
      <w:pPr>
        <w:spacing w:after="0" w:line="100" w:lineRule="atLeast"/>
        <w:jc w:val="both"/>
        <w:rPr>
          <w:rFonts w:cs="Times New Roman"/>
          <w:color w:val="000000"/>
        </w:rPr>
      </w:pPr>
      <w:r w:rsidRPr="006A554F">
        <w:rPr>
          <w:rFonts w:cs="Times New Roman"/>
          <w:color w:val="000000"/>
        </w:rPr>
        <w:lastRenderedPageBreak/>
        <w:t xml:space="preserve">Acolhe a </w:t>
      </w:r>
      <w:r w:rsidR="006A554F">
        <w:rPr>
          <w:rFonts w:cs="Times New Roman"/>
          <w:color w:val="000000"/>
        </w:rPr>
        <w:t xml:space="preserve">determinação </w:t>
      </w:r>
      <w:r w:rsidRPr="006A554F">
        <w:rPr>
          <w:rFonts w:cs="Times New Roman"/>
          <w:color w:val="000000"/>
        </w:rPr>
        <w:t>do Tribunal de Contas de Santa Catarina</w:t>
      </w:r>
      <w:r w:rsidR="006A554F">
        <w:rPr>
          <w:rFonts w:cs="Times New Roman"/>
          <w:color w:val="000000"/>
        </w:rPr>
        <w:t>,</w:t>
      </w:r>
      <w:r w:rsidR="009D5B38">
        <w:rPr>
          <w:rFonts w:cs="Times New Roman"/>
          <w:color w:val="000000"/>
        </w:rPr>
        <w:t xml:space="preserve"> e comunic</w:t>
      </w:r>
      <w:r w:rsidR="008B7EBD">
        <w:rPr>
          <w:rFonts w:cs="Times New Roman"/>
          <w:color w:val="000000"/>
        </w:rPr>
        <w:t>a</w:t>
      </w:r>
      <w:r w:rsidR="009D5B38">
        <w:rPr>
          <w:rFonts w:cs="Times New Roman"/>
          <w:color w:val="000000"/>
        </w:rPr>
        <w:t xml:space="preserve"> </w:t>
      </w:r>
      <w:r w:rsidR="008B7EBD">
        <w:rPr>
          <w:rFonts w:cs="Times New Roman"/>
          <w:color w:val="000000"/>
        </w:rPr>
        <w:t>A</w:t>
      </w:r>
      <w:r w:rsidR="009D5B38">
        <w:rPr>
          <w:rFonts w:cs="Times New Roman"/>
          <w:color w:val="000000"/>
        </w:rPr>
        <w:t>nulação do Processo Licitatório Nº 142/2017, Pregão Presencial nº 84/2017</w:t>
      </w:r>
      <w:r w:rsidR="0075120C">
        <w:rPr>
          <w:rFonts w:cs="Times New Roman"/>
          <w:color w:val="000000"/>
        </w:rPr>
        <w:t>, motivos justificados pela</w:t>
      </w:r>
      <w:r w:rsidR="004D68FB">
        <w:rPr>
          <w:rFonts w:cs="Times New Roman"/>
          <w:color w:val="000000"/>
        </w:rPr>
        <w:t xml:space="preserve"> </w:t>
      </w:r>
      <w:bookmarkStart w:id="0" w:name="_GoBack"/>
      <w:bookmarkEnd w:id="0"/>
      <w:r w:rsidR="004D68FB">
        <w:rPr>
          <w:rFonts w:cs="Times New Roman"/>
          <w:color w:val="000000"/>
        </w:rPr>
        <w:t>decisão do Tribunal Pleno supramencionados</w:t>
      </w:r>
      <w:r w:rsidR="008B7EBD" w:rsidRPr="006A554F">
        <w:rPr>
          <w:rFonts w:cs="Times New Roman"/>
          <w:color w:val="000000"/>
        </w:rPr>
        <w:t xml:space="preserve">. Maiores Informações na Diretoria de Licitações, Situado na Av. Santa Catarina, 195, fone (49) 3561-2433, e-mail: </w:t>
      </w:r>
      <w:r w:rsidR="008B7EBD" w:rsidRPr="006A554F">
        <w:rPr>
          <w:rFonts w:cs="Times New Roman"/>
          <w:color w:val="0000FF"/>
        </w:rPr>
        <w:t>licita</w:t>
      </w:r>
      <w:r w:rsidR="007048CC">
        <w:rPr>
          <w:rFonts w:cs="Times New Roman"/>
          <w:color w:val="0000FF"/>
        </w:rPr>
        <w:t>coe</w:t>
      </w:r>
      <w:r w:rsidR="008B7EBD" w:rsidRPr="006A554F">
        <w:rPr>
          <w:rFonts w:cs="Times New Roman"/>
          <w:color w:val="0000FF"/>
        </w:rPr>
        <w:t>s@cacador.sc.gov.br</w:t>
      </w:r>
      <w:r w:rsidR="008B7EBD" w:rsidRPr="006A554F">
        <w:rPr>
          <w:rFonts w:cs="Times New Roman"/>
          <w:color w:val="000000"/>
        </w:rPr>
        <w:t>.</w:t>
      </w:r>
    </w:p>
    <w:p w:rsidR="00947F86" w:rsidRPr="006A554F" w:rsidRDefault="00947F86">
      <w:pPr>
        <w:spacing w:after="0" w:line="100" w:lineRule="atLeast"/>
        <w:jc w:val="both"/>
        <w:rPr>
          <w:rFonts w:cs="Times New Roman"/>
        </w:rPr>
      </w:pPr>
    </w:p>
    <w:p w:rsidR="00947F86" w:rsidRPr="006A554F" w:rsidRDefault="008B7EBD">
      <w:pPr>
        <w:spacing w:after="0" w:line="100" w:lineRule="atLeast"/>
        <w:jc w:val="both"/>
        <w:rPr>
          <w:rFonts w:cs="Times New Roman"/>
          <w:color w:val="000000"/>
        </w:rPr>
      </w:pPr>
      <w:r w:rsidRPr="006A554F">
        <w:rPr>
          <w:rFonts w:cs="Times New Roman"/>
          <w:color w:val="000000"/>
        </w:rPr>
        <w:t xml:space="preserve">Caçador/SC, </w:t>
      </w:r>
      <w:r w:rsidR="006A554F">
        <w:rPr>
          <w:rFonts w:cs="Times New Roman"/>
          <w:color w:val="000000"/>
        </w:rPr>
        <w:t xml:space="preserve">15 </w:t>
      </w:r>
      <w:r w:rsidRPr="006A554F">
        <w:rPr>
          <w:rFonts w:cs="Times New Roman"/>
          <w:color w:val="000000"/>
        </w:rPr>
        <w:t>de</w:t>
      </w:r>
      <w:r w:rsidR="006A554F">
        <w:rPr>
          <w:rFonts w:cs="Times New Roman"/>
          <w:color w:val="000000"/>
        </w:rPr>
        <w:t xml:space="preserve"> outubro 20</w:t>
      </w:r>
      <w:r w:rsidRPr="006A554F">
        <w:rPr>
          <w:rFonts w:cs="Times New Roman"/>
          <w:color w:val="000000"/>
        </w:rPr>
        <w:t>18.</w:t>
      </w:r>
    </w:p>
    <w:p w:rsidR="00947F86" w:rsidRPr="006A554F" w:rsidRDefault="00947F86">
      <w:pPr>
        <w:spacing w:after="0" w:line="100" w:lineRule="atLeast"/>
        <w:jc w:val="both"/>
        <w:rPr>
          <w:rFonts w:cs="Times New Roman"/>
        </w:rPr>
      </w:pPr>
    </w:p>
    <w:p w:rsidR="00947F86" w:rsidRPr="006A554F" w:rsidRDefault="008B7EBD">
      <w:pPr>
        <w:spacing w:after="0" w:line="100" w:lineRule="atLeast"/>
        <w:jc w:val="both"/>
        <w:rPr>
          <w:rFonts w:cs="Times New Roman"/>
          <w:b/>
          <w:color w:val="000000"/>
        </w:rPr>
      </w:pPr>
      <w:r w:rsidRPr="006A554F">
        <w:rPr>
          <w:rFonts w:cs="Times New Roman"/>
          <w:b/>
          <w:color w:val="000000"/>
        </w:rPr>
        <w:t>SAULO SPEROTTO</w:t>
      </w:r>
    </w:p>
    <w:p w:rsidR="00947F86" w:rsidRPr="006A554F" w:rsidRDefault="008B7EBD">
      <w:pPr>
        <w:spacing w:after="0" w:line="100" w:lineRule="atLeast"/>
        <w:jc w:val="both"/>
        <w:rPr>
          <w:rFonts w:cs="Times New Roman"/>
          <w:b/>
          <w:color w:val="000000"/>
        </w:rPr>
      </w:pPr>
      <w:r w:rsidRPr="006A554F">
        <w:rPr>
          <w:rFonts w:cs="Times New Roman"/>
          <w:b/>
          <w:color w:val="000000"/>
        </w:rPr>
        <w:t>Prefeito Municipal</w:t>
      </w:r>
    </w:p>
    <w:p w:rsidR="00947F86" w:rsidRPr="006A554F" w:rsidRDefault="00947F86">
      <w:pPr>
        <w:pStyle w:val="P3"/>
        <w:spacing w:after="0" w:line="100" w:lineRule="atLeast"/>
        <w:jc w:val="both"/>
        <w:rPr>
          <w:rFonts w:cs="Times New Roman"/>
          <w:szCs w:val="24"/>
        </w:rPr>
      </w:pPr>
    </w:p>
    <w:p w:rsidR="00947F86" w:rsidRPr="006A554F" w:rsidRDefault="00947F86">
      <w:pPr>
        <w:rPr>
          <w:rFonts w:cs="Times New Roman"/>
        </w:rPr>
      </w:pPr>
    </w:p>
    <w:p w:rsidR="00947F86" w:rsidRPr="006A554F" w:rsidRDefault="00947F86">
      <w:pPr>
        <w:rPr>
          <w:rFonts w:cs="Times New Roman"/>
        </w:rPr>
      </w:pPr>
    </w:p>
    <w:sectPr w:rsidR="00947F86" w:rsidRPr="006A554F">
      <w:pgSz w:w="11906" w:h="16838"/>
      <w:pgMar w:top="1327" w:right="849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1">
    <w:altName w:val="Arial"/>
    <w:charset w:val="00"/>
    <w:family w:val="roman"/>
    <w:pitch w:val="variable"/>
  </w:font>
  <w:font w:name="Arial2">
    <w:panose1 w:val="00000000000000000000"/>
    <w:charset w:val="00"/>
    <w:family w:val="roman"/>
    <w:notTrueType/>
    <w:pitch w:val="default"/>
  </w:font>
  <w:font w:name="Times New Roman1">
    <w:panose1 w:val="00000000000000000000"/>
    <w:charset w:val="00"/>
    <w:family w:val="roman"/>
    <w:notTrueType/>
    <w:pitch w:val="default"/>
  </w:font>
  <w:font w:name="Mangal1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F86"/>
    <w:rsid w:val="000813CB"/>
    <w:rsid w:val="00246BB1"/>
    <w:rsid w:val="004D68FB"/>
    <w:rsid w:val="00527170"/>
    <w:rsid w:val="00550076"/>
    <w:rsid w:val="00650E9A"/>
    <w:rsid w:val="006929F8"/>
    <w:rsid w:val="006A554F"/>
    <w:rsid w:val="006D35A8"/>
    <w:rsid w:val="007048CC"/>
    <w:rsid w:val="0075120C"/>
    <w:rsid w:val="00767694"/>
    <w:rsid w:val="008B7EBD"/>
    <w:rsid w:val="00947F86"/>
    <w:rsid w:val="009D5B38"/>
    <w:rsid w:val="00A16CC3"/>
    <w:rsid w:val="00CA590E"/>
    <w:rsid w:val="00DA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4AFA"/>
  <w15:docId w15:val="{80C25818-9071-4FAE-8C14-7CC8A66E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252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Ttulo3">
    <w:name w:val="heading 3"/>
    <w:basedOn w:val="Ttulo"/>
    <w:uiPriority w:val="9"/>
    <w:semiHidden/>
    <w:unhideWhenUsed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1">
    <w:name w:val="T1"/>
    <w:rPr>
      <w:rFonts w:ascii="Arial1" w:hAnsi="Arial1" w:cs="Arial2"/>
      <w:b/>
    </w:rPr>
  </w:style>
  <w:style w:type="character" w:customStyle="1" w:styleId="T2">
    <w:name w:val="T2"/>
    <w:rPr>
      <w:rFonts w:ascii="Arial1" w:hAnsi="Arial1" w:cs="Arial2"/>
      <w:b/>
    </w:rPr>
  </w:style>
  <w:style w:type="character" w:customStyle="1" w:styleId="T3">
    <w:name w:val="T3"/>
    <w:rPr>
      <w:rFonts w:ascii="Arial1" w:hAnsi="Arial1" w:cs="Arial2"/>
      <w:b/>
    </w:rPr>
  </w:style>
  <w:style w:type="character" w:customStyle="1" w:styleId="T4">
    <w:name w:val="T4"/>
    <w:rPr>
      <w:rFonts w:ascii="Arial1" w:hAnsi="Arial1" w:cs="Arial2"/>
      <w:b/>
    </w:rPr>
  </w:style>
  <w:style w:type="character" w:customStyle="1" w:styleId="T5">
    <w:name w:val="T5"/>
    <w:rPr>
      <w:rFonts w:ascii="Arial1" w:eastAsia="Times New Roman1" w:hAnsi="Arial1" w:cs="Arial2"/>
      <w:b/>
    </w:rPr>
  </w:style>
  <w:style w:type="character" w:customStyle="1" w:styleId="T6">
    <w:name w:val="T6"/>
    <w:rPr>
      <w:rFonts w:ascii="Arial1" w:eastAsia="Times New Roman1" w:hAnsi="Arial1" w:cs="Arial2"/>
    </w:rPr>
  </w:style>
  <w:style w:type="character" w:customStyle="1" w:styleId="T7">
    <w:name w:val="T7"/>
    <w:rPr>
      <w:rFonts w:ascii="Arial1" w:eastAsia="Times New Roman1" w:hAnsi="Arial1" w:cs="Arial2"/>
    </w:rPr>
  </w:style>
  <w:style w:type="character" w:customStyle="1" w:styleId="T8">
    <w:name w:val="T8"/>
    <w:rPr>
      <w:rFonts w:ascii="Arial1" w:eastAsia="Times New Roman1" w:hAnsi="Arial1" w:cs="Arial2"/>
    </w:rPr>
  </w:style>
  <w:style w:type="character" w:customStyle="1" w:styleId="T9">
    <w:name w:val="T9"/>
    <w:rPr>
      <w:rFonts w:ascii="Arial1" w:hAnsi="Arial1" w:cs="Arial2"/>
    </w:rPr>
  </w:style>
  <w:style w:type="character" w:customStyle="1" w:styleId="T10">
    <w:name w:val="T10"/>
    <w:rPr>
      <w:rFonts w:ascii="Arial1" w:eastAsia="Times New Roman1" w:hAnsi="Arial1" w:cs="Arial2"/>
      <w:shd w:val="clear" w:color="auto" w:fill="FFFF00"/>
    </w:rPr>
  </w:style>
  <w:style w:type="character" w:customStyle="1" w:styleId="T11">
    <w:name w:val="T11"/>
    <w:rPr>
      <w:rFonts w:ascii="Arial1" w:eastAsia="Times New Roman1" w:hAnsi="Arial1" w:cs="Arial2"/>
      <w:shd w:val="clear" w:color="auto" w:fill="FFFF00"/>
    </w:rPr>
  </w:style>
  <w:style w:type="character" w:customStyle="1" w:styleId="LinkdaInternet">
    <w:name w:val="Link da Internet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styleId="Refdecomentrio">
    <w:name w:val="annotation reference"/>
    <w:rPr>
      <w:sz w:val="16"/>
      <w:szCs w:val="16"/>
    </w:r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pPr>
      <w:widowControl w:val="0"/>
    </w:pPr>
    <w:rPr>
      <w:rFonts w:cs="Mangal1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1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1"/>
    </w:rPr>
  </w:style>
  <w:style w:type="paragraph" w:customStyle="1" w:styleId="Ttulododocumento">
    <w:name w:val="Título do documento"/>
    <w:basedOn w:val="Normal"/>
    <w:pPr>
      <w:keepNext/>
      <w:spacing w:before="239" w:after="120"/>
    </w:pPr>
    <w:rPr>
      <w:rFonts w:ascii="Arial" w:eastAsia="Microsoft YaHei" w:hAnsi="Arial"/>
      <w:sz w:val="28"/>
      <w:szCs w:val="28"/>
    </w:rPr>
  </w:style>
  <w:style w:type="paragraph" w:customStyle="1" w:styleId="default-paragraph-style">
    <w:name w:val="default-paragraph-style"/>
    <w:pPr>
      <w:widowControl w:val="0"/>
      <w:suppressAutoHyphens/>
      <w:spacing w:line="252" w:lineRule="auto"/>
    </w:pPr>
    <w:rPr>
      <w:rFonts w:ascii="Times New Roman" w:eastAsia="SimSun" w:hAnsi="Times New Roman" w:cs="Mangal"/>
      <w:color w:val="00000A"/>
      <w:sz w:val="24"/>
      <w:szCs w:val="20"/>
    </w:rPr>
  </w:style>
  <w:style w:type="paragraph" w:customStyle="1" w:styleId="Text20body">
    <w:name w:val="Text_20_body"/>
    <w:basedOn w:val="Normal"/>
    <w:pPr>
      <w:spacing w:after="120"/>
    </w:pPr>
  </w:style>
  <w:style w:type="paragraph" w:customStyle="1" w:styleId="No20Spacing">
    <w:name w:val="No_20_Spacing"/>
    <w:basedOn w:val="default-paragraph-style"/>
    <w:pPr>
      <w:widowControl/>
    </w:pPr>
  </w:style>
  <w:style w:type="paragraph" w:customStyle="1" w:styleId="P1">
    <w:name w:val="P1"/>
    <w:basedOn w:val="Normal"/>
  </w:style>
  <w:style w:type="paragraph" w:customStyle="1" w:styleId="P2">
    <w:name w:val="P2"/>
    <w:basedOn w:val="Normal"/>
    <w:rPr>
      <w:rFonts w:ascii="Arial1" w:hAnsi="Arial1" w:cs="Arial2"/>
      <w:b/>
    </w:rPr>
  </w:style>
  <w:style w:type="paragraph" w:customStyle="1" w:styleId="P3">
    <w:name w:val="P3"/>
    <w:basedOn w:val="No20Spacing"/>
    <w:pPr>
      <w:widowControl w:val="0"/>
    </w:pPr>
  </w:style>
  <w:style w:type="paragraph" w:customStyle="1" w:styleId="P4">
    <w:name w:val="P4"/>
    <w:basedOn w:val="No20Spacing"/>
    <w:pPr>
      <w:widowControl w:val="0"/>
    </w:pPr>
    <w:rPr>
      <w:rFonts w:ascii="Arial1" w:eastAsia="Times New Roman1" w:hAnsi="Arial1" w:cs="Arial2"/>
      <w:b/>
    </w:rPr>
  </w:style>
  <w:style w:type="paragraph" w:customStyle="1" w:styleId="P5">
    <w:name w:val="P5"/>
    <w:basedOn w:val="No20Spacing"/>
    <w:pPr>
      <w:widowControl w:val="0"/>
    </w:pPr>
    <w:rPr>
      <w:rFonts w:ascii="Arial1" w:hAnsi="Arial1" w:cs="Arial2"/>
      <w:b/>
    </w:rPr>
  </w:style>
  <w:style w:type="paragraph" w:customStyle="1" w:styleId="P6">
    <w:name w:val="P6"/>
    <w:basedOn w:val="No20Spacing"/>
    <w:pPr>
      <w:widowControl w:val="0"/>
    </w:pPr>
    <w:rPr>
      <w:rFonts w:ascii="Arial1" w:eastAsia="Times New Roman1" w:hAnsi="Arial1" w:cs="Arial2"/>
    </w:rPr>
  </w:style>
  <w:style w:type="paragraph" w:customStyle="1" w:styleId="P7">
    <w:name w:val="P7"/>
    <w:basedOn w:val="No20Spacing"/>
    <w:pPr>
      <w:widowControl w:val="0"/>
    </w:pPr>
    <w:rPr>
      <w:rFonts w:ascii="Arial1" w:hAnsi="Arial1" w:cs="Arial2"/>
    </w:rPr>
  </w:style>
  <w:style w:type="paragraph" w:customStyle="1" w:styleId="P8">
    <w:name w:val="P8"/>
    <w:basedOn w:val="No20Spacing"/>
    <w:pPr>
      <w:widowControl w:val="0"/>
    </w:pPr>
    <w:rPr>
      <w:rFonts w:ascii="Arial1" w:eastAsia="Times New Roman1" w:hAnsi="Arial1" w:cs="Arial2"/>
      <w:b/>
    </w:rPr>
  </w:style>
  <w:style w:type="paragraph" w:styleId="Textodecomentrio">
    <w:name w:val="annotation text"/>
    <w:pPr>
      <w:suppressAutoHyphens/>
      <w:spacing w:line="252" w:lineRule="auto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ssuntodocomentrio">
    <w:name w:val="annotation subject"/>
    <w:basedOn w:val="Textodecomentrio"/>
    <w:rPr>
      <w:b/>
      <w:bCs/>
    </w:rPr>
  </w:style>
  <w:style w:type="paragraph" w:customStyle="1" w:styleId="western">
    <w:name w:val="western"/>
    <w:basedOn w:val="Normal"/>
    <w:pPr>
      <w:suppressAutoHyphens w:val="0"/>
      <w:spacing w:before="280" w:after="142" w:line="288" w:lineRule="auto"/>
    </w:pPr>
    <w:rPr>
      <w:rFonts w:eastAsia="Times New Roman" w:cs="Times New Roman"/>
      <w:color w:val="000000"/>
      <w:sz w:val="20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555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maq255</dc:creator>
  <cp:lastModifiedBy>maq301</cp:lastModifiedBy>
  <cp:revision>21</cp:revision>
  <cp:lastPrinted>2018-04-11T16:40:00Z</cp:lastPrinted>
  <dcterms:created xsi:type="dcterms:W3CDTF">2017-06-27T18:42:00Z</dcterms:created>
  <dcterms:modified xsi:type="dcterms:W3CDTF">2018-10-15T22:06:00Z</dcterms:modified>
</cp:coreProperties>
</file>