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7" w:rsidRDefault="004F5287" w:rsidP="004F528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color w:val="00000A"/>
          <w:lang w:eastAsia="pt-BR"/>
        </w:rPr>
      </w:pPr>
      <w:r w:rsidRPr="004F5287">
        <w:rPr>
          <w:rFonts w:ascii="Arial" w:eastAsia="Times New Roman" w:hAnsi="Arial" w:cs="Arial"/>
          <w:b/>
          <w:color w:val="00000A"/>
          <w:lang w:eastAsia="pt-BR"/>
        </w:rPr>
        <w:t>CONTEÚDOS PROGRAMÁTICOS PARA AS PROVAS DE NÚCLEO COMUM</w:t>
      </w:r>
    </w:p>
    <w:p w:rsidR="002C1EB4" w:rsidRPr="004F5287" w:rsidRDefault="002C1EB4" w:rsidP="002C1EB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A"/>
          <w:lang w:eastAsia="pt-BR"/>
        </w:rPr>
      </w:pPr>
    </w:p>
    <w:tbl>
      <w:tblPr>
        <w:tblW w:w="10418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F5287" w:rsidRPr="004F5287" w:rsidTr="00450AE2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4F5287" w:rsidRPr="004F5287" w:rsidRDefault="004F5287" w:rsidP="004F5287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A"/>
                <w:lang w:eastAsia="pt-BR"/>
              </w:rPr>
            </w:pPr>
            <w:r w:rsidRPr="004F5287">
              <w:rPr>
                <w:rFonts w:ascii="Arial" w:eastAsia="Times New Roman" w:hAnsi="Arial" w:cs="Arial"/>
                <w:b/>
                <w:color w:val="00000A"/>
                <w:lang w:eastAsia="pt-BR"/>
              </w:rPr>
              <w:t>PORTUGUÊS PARA TODOS OS CARGOS.</w:t>
            </w:r>
          </w:p>
        </w:tc>
      </w:tr>
    </w:tbl>
    <w:p w:rsidR="004F5287" w:rsidRPr="004F5287" w:rsidRDefault="004F5287" w:rsidP="004F5287">
      <w:pPr>
        <w:spacing w:after="0"/>
        <w:jc w:val="both"/>
        <w:rPr>
          <w:rFonts w:ascii="Arial" w:eastAsia="Times New Roman" w:hAnsi="Arial" w:cs="Arial"/>
          <w:color w:val="00000A"/>
          <w:lang w:eastAsia="pt-BR"/>
        </w:rPr>
      </w:pPr>
    </w:p>
    <w:p w:rsidR="004F5287" w:rsidRPr="004F5287" w:rsidRDefault="004F5287" w:rsidP="004F5287">
      <w:pPr>
        <w:spacing w:after="0"/>
        <w:jc w:val="both"/>
        <w:rPr>
          <w:rFonts w:ascii="Arial" w:eastAsia="Arial" w:hAnsi="Arial" w:cs="Arial"/>
          <w:color w:val="00000A"/>
          <w:lang w:eastAsia="pt-BR"/>
        </w:rPr>
      </w:pPr>
      <w:r w:rsidRPr="004F5287">
        <w:rPr>
          <w:rFonts w:ascii="Arial" w:eastAsia="Times New Roman" w:hAnsi="Arial" w:cs="Arial"/>
          <w:color w:val="00000A"/>
          <w:lang w:eastAsia="pt-BR"/>
        </w:rPr>
        <w:t xml:space="preserve">1. Interpretação de textos. 2. Funções da linguagem. 3. Colocação pronominal. 4. Acentuação gráfica. 5. Pontuação. 6. Ortografia. 7. Classes gramaticais: substantivo, artigo, adjetivo, pronome, verbo, numeral, preposição, conjunção, interjeição. 8. Regência nominal e verbal. 9. Crase. 10. Concordância nominal e verbal. </w:t>
      </w:r>
      <w:proofErr w:type="gramStart"/>
      <w:r w:rsidRPr="004F5287">
        <w:rPr>
          <w:rFonts w:ascii="Arial" w:eastAsia="Times New Roman" w:hAnsi="Arial" w:cs="Arial"/>
          <w:color w:val="00000A"/>
          <w:lang w:eastAsia="pt-BR"/>
        </w:rPr>
        <w:t>11.</w:t>
      </w:r>
      <w:proofErr w:type="gramEnd"/>
      <w:r w:rsidRPr="004F5287">
        <w:rPr>
          <w:rFonts w:ascii="Arial" w:eastAsia="Times New Roman" w:hAnsi="Arial" w:cs="Arial"/>
          <w:color w:val="00000A"/>
          <w:lang w:eastAsia="pt-BR"/>
        </w:rPr>
        <w:t>Tempos e modos verbais. 12. Aspectos sintáticos e semânticos. 13. Termos essenciais da oração: Sujeito e predicado. 14. Sentido dos vocábulos no texto. 15. Significação das palavras. 16. Processos de coordenação e subordinação (valores semânticos).</w:t>
      </w:r>
    </w:p>
    <w:p w:rsidR="004F5287" w:rsidRPr="004F5287" w:rsidRDefault="004F5287" w:rsidP="004F5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Arial" w:eastAsia="Times New Roman" w:hAnsi="Arial" w:cs="Arial"/>
          <w:color w:val="00000A"/>
          <w:lang w:eastAsia="pt-BR"/>
        </w:rPr>
      </w:pPr>
    </w:p>
    <w:tbl>
      <w:tblPr>
        <w:tblW w:w="10418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F5287" w:rsidRPr="004F5287" w:rsidTr="00450AE2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4F5287" w:rsidRPr="004F5287" w:rsidRDefault="004F5287" w:rsidP="004F5287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A"/>
                <w:lang w:eastAsia="pt-BR"/>
              </w:rPr>
            </w:pPr>
            <w:r w:rsidRPr="004F5287">
              <w:rPr>
                <w:rFonts w:ascii="Arial" w:eastAsia="Times New Roman" w:hAnsi="Arial" w:cs="Arial"/>
                <w:b/>
                <w:color w:val="00000A"/>
                <w:lang w:eastAsia="pt-BR"/>
              </w:rPr>
              <w:t>LEGISLAÇÃO EDUCACIONAL PARA TODOS OS CARGOS.</w:t>
            </w:r>
          </w:p>
        </w:tc>
      </w:tr>
    </w:tbl>
    <w:p w:rsidR="004F5287" w:rsidRPr="004F5287" w:rsidRDefault="004F5287" w:rsidP="004F5287">
      <w:pPr>
        <w:spacing w:after="0"/>
        <w:jc w:val="both"/>
        <w:rPr>
          <w:rFonts w:ascii="Arial" w:eastAsia="Times New Roman" w:hAnsi="Arial" w:cs="Arial"/>
          <w:b/>
          <w:color w:val="00000A"/>
          <w:lang w:eastAsia="pt-BR"/>
        </w:rPr>
      </w:pPr>
    </w:p>
    <w:p w:rsidR="004F5287" w:rsidRPr="004F5287" w:rsidRDefault="004F5287" w:rsidP="004F5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A"/>
          <w:lang w:eastAsia="pt-BR"/>
        </w:rPr>
      </w:pPr>
      <w:r w:rsidRPr="004F5287">
        <w:rPr>
          <w:rFonts w:ascii="Arial" w:eastAsia="Times New Roman" w:hAnsi="Arial" w:cs="Arial"/>
          <w:bCs/>
          <w:color w:val="00000A"/>
          <w:lang w:eastAsia="pt-BR"/>
        </w:rPr>
        <w:t xml:space="preserve">Constituição da República Federativa do Brasil (CF/88): </w:t>
      </w:r>
      <w:r w:rsidRPr="004F5287">
        <w:rPr>
          <w:rFonts w:ascii="Arial" w:eastAsia="Times New Roman" w:hAnsi="Arial" w:cs="Arial"/>
          <w:color w:val="00000A"/>
          <w:lang w:eastAsia="pt-BR"/>
        </w:rPr>
        <w:t xml:space="preserve">Dos Princípios Fundamentais. Dos Direitos e Garantias Fundamentais. Lei de Diretrizes e Bases da Educação Nacional: Lei nº 9.394/96; Estatuto da Criança e do Adolescente: Lei 8069/90; Resolução CNE/CEB nº 4, de 13 de julho de 2010: Diretrizes Curriculares Nacionais para a Educação Básica; </w:t>
      </w:r>
      <w:r w:rsidR="00A32E76">
        <w:rPr>
          <w:rFonts w:ascii="Arial" w:eastAsia="Times New Roman" w:hAnsi="Arial" w:cs="Arial"/>
          <w:color w:val="00000A"/>
          <w:lang w:eastAsia="pt-BR"/>
        </w:rPr>
        <w:t xml:space="preserve">BNCC (Base Nacional Comum Curricular); </w:t>
      </w:r>
      <w:r w:rsidRPr="004F5287">
        <w:rPr>
          <w:rFonts w:ascii="Arial" w:eastAsia="Times New Roman" w:hAnsi="Arial" w:cs="Arial"/>
          <w:color w:val="00000A"/>
          <w:lang w:eastAsia="pt-BR"/>
        </w:rPr>
        <w:t>Política Nacional de Educação Especial na Perspectiva da Educação Inclusiva. Plano de Cargos e Carreiras do Magistério de Caçador, LC 286/2014 e Estatuto dos Servidores Públicos Municipais de Caçador LC nº 56/2004.</w:t>
      </w:r>
    </w:p>
    <w:p w:rsidR="004F5287" w:rsidRPr="004F5287" w:rsidRDefault="004F5287" w:rsidP="004F5287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F5287" w:rsidRPr="004F5287" w:rsidRDefault="004F5287" w:rsidP="002C1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4F5287">
        <w:rPr>
          <w:rFonts w:ascii="Arial" w:eastAsia="Times New Roman" w:hAnsi="Arial" w:cs="Arial"/>
          <w:b/>
          <w:color w:val="00000A"/>
          <w:lang w:eastAsia="pt-BR"/>
        </w:rPr>
        <w:t>CONTEÚDOS PROGRAMÁTICOS PARA AS PROVAS DE CONHECIMENTO TÉCNICO/PROFISSIONAL</w:t>
      </w:r>
    </w:p>
    <w:tbl>
      <w:tblPr>
        <w:tblpPr w:leftFromText="141" w:rightFromText="141" w:vertAnchor="text" w:horzAnchor="margin" w:tblpY="112"/>
        <w:tblW w:w="10418" w:type="dxa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F5287" w:rsidRPr="004F5287" w:rsidTr="00450AE2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4F5287" w:rsidRPr="004F5287" w:rsidRDefault="004F5287" w:rsidP="004F52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A"/>
                <w:lang w:eastAsia="pt-BR"/>
              </w:rPr>
              <w:t>CARGO: 01 - PSICÓLOGO</w:t>
            </w:r>
          </w:p>
          <w:p w:rsidR="004F5287" w:rsidRPr="004F5287" w:rsidRDefault="004F5287" w:rsidP="004F5287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A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A"/>
                <w:lang w:eastAsia="pt-BR"/>
              </w:rPr>
              <w:t>ÁREA DE ATUAÇÃO – PSICOLOGIA ESCOLAR</w:t>
            </w:r>
          </w:p>
        </w:tc>
      </w:tr>
    </w:tbl>
    <w:p w:rsidR="007A10EC" w:rsidRDefault="008708FF"/>
    <w:p w:rsidR="004F5287" w:rsidRPr="00AA33EC" w:rsidRDefault="004F5287" w:rsidP="004F5287">
      <w:pPr>
        <w:spacing w:before="100" w:beforeAutospacing="1" w:after="198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lang w:eastAsia="pt-BR"/>
        </w:rPr>
        <w:t xml:space="preserve">Noções sobre as concepções e relação entre desenvolvimento e aprendizagem. Teorias de aprendizagem e desenvolvimento humano: Piaget, Vygotsky e </w:t>
      </w:r>
      <w:proofErr w:type="spellStart"/>
      <w:r w:rsidRPr="00AA33EC">
        <w:rPr>
          <w:rFonts w:ascii="Arial" w:eastAsia="Times New Roman" w:hAnsi="Arial" w:cs="Arial"/>
          <w:color w:val="000000"/>
          <w:lang w:eastAsia="pt-BR"/>
        </w:rPr>
        <w:t>Wallon</w:t>
      </w:r>
      <w:proofErr w:type="spellEnd"/>
      <w:r w:rsidRPr="00AA33EC">
        <w:rPr>
          <w:rFonts w:ascii="Arial" w:eastAsia="Times New Roman" w:hAnsi="Arial" w:cs="Arial"/>
          <w:color w:val="000000"/>
          <w:lang w:eastAsia="pt-BR"/>
        </w:rPr>
        <w:t>. Formação continuada de professores e assessoria ao trabalho educacional coletivo. Educação inclusiva e seus desafios. Relação família/Escola. Prevenção às deficiências. Avaliação Psicológica: Fundamentos da medida psicológica. Instrumentos de avaliação: critérios de seleção, avaliação e interpretação dos resultados. Utilização das técnicas de avaliação na prática clínica. Técnicas de entrevista. Psicologia do desenvolvimento normal e patológico: desenvolvimento físico, cognitivo e afetivo da criança, adolescente e adulto. Psicologia da Saúde – O trabalho da Psicologia na Saúde Pública; Saúde mental na atualidade. Equipes de saúde mental. Saúde coletiva: Políticas de saúde mental. Saúde mental e família.</w:t>
      </w:r>
      <w:r w:rsidR="00A32E76">
        <w:rPr>
          <w:rFonts w:ascii="Arial" w:eastAsia="Times New Roman" w:hAnsi="Arial" w:cs="Arial"/>
          <w:color w:val="000000"/>
          <w:lang w:eastAsia="pt-BR"/>
        </w:rPr>
        <w:t xml:space="preserve"> Saúde mental e escola.</w:t>
      </w:r>
      <w:r w:rsidRPr="00AA33EC">
        <w:rPr>
          <w:rFonts w:ascii="Arial" w:eastAsia="Times New Roman" w:hAnsi="Arial" w:cs="Arial"/>
          <w:color w:val="000000"/>
          <w:lang w:eastAsia="pt-BR"/>
        </w:rPr>
        <w:t xml:space="preserve"> Saúde mental e trabalho. Etiologia das Deficiências Mentais; Desordens da Personalidade; Deficiências Mentais; Orientação de Pais; Conhecimentos em Psicomotricidade; Psicoterapia de grupo;</w:t>
      </w:r>
    </w:p>
    <w:tbl>
      <w:tblPr>
        <w:tblpPr w:leftFromText="141" w:rightFromText="141" w:vertAnchor="text" w:horzAnchor="margin" w:tblpY="112"/>
        <w:tblW w:w="10418" w:type="dxa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F5287" w:rsidRPr="004F5287" w:rsidTr="00450AE2">
        <w:trPr>
          <w:cantSplit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4F5287" w:rsidRPr="004F5287" w:rsidRDefault="004F5287" w:rsidP="004F52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A"/>
                <w:lang w:eastAsia="pt-BR"/>
              </w:rPr>
              <w:t xml:space="preserve">CARGO: </w:t>
            </w:r>
            <w:proofErr w:type="gramStart"/>
            <w:r>
              <w:rPr>
                <w:rFonts w:ascii="Arial" w:eastAsia="Times New Roman" w:hAnsi="Arial" w:cs="Arial"/>
                <w:b/>
                <w:color w:val="00000A"/>
                <w:lang w:eastAsia="pt-BR"/>
              </w:rPr>
              <w:t>02 - FONOAUDIÓLOGO</w:t>
            </w:r>
            <w:proofErr w:type="gramEnd"/>
          </w:p>
          <w:p w:rsidR="004F5287" w:rsidRPr="004F5287" w:rsidRDefault="004F5287" w:rsidP="004F5287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A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A"/>
                <w:lang w:eastAsia="pt-BR"/>
              </w:rPr>
              <w:t xml:space="preserve">ÁREA DE ATUAÇÃO – FONOAUDIOLOGIA </w:t>
            </w:r>
            <w:r w:rsidR="00A32E76">
              <w:rPr>
                <w:rFonts w:ascii="Arial" w:eastAsia="Times New Roman" w:hAnsi="Arial" w:cs="Arial"/>
                <w:b/>
                <w:color w:val="00000A"/>
                <w:lang w:eastAsia="pt-BR"/>
              </w:rPr>
              <w:t>ESCOLAR</w:t>
            </w:r>
            <w:bookmarkStart w:id="0" w:name="_GoBack"/>
            <w:bookmarkEnd w:id="0"/>
          </w:p>
        </w:tc>
      </w:tr>
    </w:tbl>
    <w:p w:rsidR="004F5287" w:rsidRDefault="004F5287"/>
    <w:p w:rsidR="004F5287" w:rsidRPr="00AA33EC" w:rsidRDefault="004F5287" w:rsidP="004F5287">
      <w:pPr>
        <w:spacing w:before="100" w:beforeAutospacing="1" w:after="198"/>
        <w:jc w:val="both"/>
        <w:rPr>
          <w:rFonts w:ascii="Calibri" w:eastAsia="Times New Roman" w:hAnsi="Calibri" w:cs="Times New Roman"/>
          <w:color w:val="000000"/>
          <w:lang w:eastAsia="pt-BR"/>
        </w:rPr>
      </w:pPr>
      <w:proofErr w:type="spellStart"/>
      <w:r w:rsidRPr="00AA33EC">
        <w:rPr>
          <w:rFonts w:ascii="Arial" w:eastAsia="Times New Roman" w:hAnsi="Arial" w:cs="Arial"/>
          <w:color w:val="000000"/>
          <w:lang w:eastAsia="pt-BR"/>
        </w:rPr>
        <w:lastRenderedPageBreak/>
        <w:t>Audiologia</w:t>
      </w:r>
      <w:proofErr w:type="spellEnd"/>
      <w:r w:rsidRPr="00AA33EC">
        <w:rPr>
          <w:rFonts w:ascii="Arial" w:eastAsia="Times New Roman" w:hAnsi="Arial" w:cs="Arial"/>
          <w:color w:val="000000"/>
          <w:lang w:eastAsia="pt-BR"/>
        </w:rPr>
        <w:t xml:space="preserve">: Desenvolvimento do Sistema Auditivo. Processamento Auditivo. </w:t>
      </w:r>
      <w:proofErr w:type="spellStart"/>
      <w:r w:rsidRPr="00AA33EC">
        <w:rPr>
          <w:rFonts w:ascii="Arial" w:eastAsia="Times New Roman" w:hAnsi="Arial" w:cs="Arial"/>
          <w:color w:val="000000"/>
          <w:lang w:eastAsia="pt-BR"/>
        </w:rPr>
        <w:t>Audiologia</w:t>
      </w:r>
      <w:proofErr w:type="spellEnd"/>
      <w:r w:rsidRPr="00AA33EC">
        <w:rPr>
          <w:rFonts w:ascii="Arial" w:eastAsia="Times New Roman" w:hAnsi="Arial" w:cs="Arial"/>
          <w:color w:val="000000"/>
          <w:lang w:eastAsia="pt-BR"/>
        </w:rPr>
        <w:t xml:space="preserve"> Educacional. Linguagem: Anatomia e Fisiologia da Linguagem. Aquisição e Desenvolvimento da Linguagem. Etiologia. Avaliação. Classificação. Diagnóstico. Abordagens Terapêuticas. Distúrbios Específicos de linguagem. Alterações do desenvolvimento da Linguagem. Distúrbios de Aprendizagem e Dislexia. Alterações da Linguagem de Origem Neurológica. Gagueira na Criança e no Adulto. Motricidade Orofacial: Atuação </w:t>
      </w:r>
      <w:proofErr w:type="spellStart"/>
      <w:r w:rsidRPr="00AA33EC">
        <w:rPr>
          <w:rFonts w:ascii="Arial" w:eastAsia="Times New Roman" w:hAnsi="Arial" w:cs="Arial"/>
          <w:color w:val="000000"/>
          <w:lang w:eastAsia="pt-BR"/>
        </w:rPr>
        <w:t>Fonoaudiológica</w:t>
      </w:r>
      <w:proofErr w:type="spellEnd"/>
      <w:r w:rsidRPr="00AA33EC">
        <w:rPr>
          <w:rFonts w:ascii="Arial" w:eastAsia="Times New Roman" w:hAnsi="Arial" w:cs="Arial"/>
          <w:color w:val="000000"/>
          <w:lang w:eastAsia="pt-BR"/>
        </w:rPr>
        <w:t xml:space="preserve"> em Neonatologia nas funções Orofaciais, nas Disfunções da Articulação </w:t>
      </w:r>
      <w:proofErr w:type="spellStart"/>
      <w:r w:rsidRPr="00AA33EC">
        <w:rPr>
          <w:rFonts w:ascii="Arial" w:eastAsia="Times New Roman" w:hAnsi="Arial" w:cs="Arial"/>
          <w:color w:val="000000"/>
          <w:lang w:eastAsia="pt-BR"/>
        </w:rPr>
        <w:t>Temporomandibular</w:t>
      </w:r>
      <w:proofErr w:type="spellEnd"/>
      <w:r w:rsidRPr="00AA33EC">
        <w:rPr>
          <w:rFonts w:ascii="Arial" w:eastAsia="Times New Roman" w:hAnsi="Arial" w:cs="Arial"/>
          <w:color w:val="000000"/>
          <w:lang w:eastAsia="pt-BR"/>
        </w:rPr>
        <w:t xml:space="preserve">, nas Alterações de Fala, na Fissura </w:t>
      </w:r>
      <w:proofErr w:type="spellStart"/>
      <w:r w:rsidRPr="00AA33EC">
        <w:rPr>
          <w:rFonts w:ascii="Arial" w:eastAsia="Times New Roman" w:hAnsi="Arial" w:cs="Arial"/>
          <w:color w:val="000000"/>
          <w:lang w:eastAsia="pt-BR"/>
        </w:rPr>
        <w:t>Labiopalatina</w:t>
      </w:r>
      <w:proofErr w:type="spellEnd"/>
      <w:r w:rsidRPr="00AA33EC">
        <w:rPr>
          <w:rFonts w:ascii="Arial" w:eastAsia="Times New Roman" w:hAnsi="Arial" w:cs="Arial"/>
          <w:color w:val="000000"/>
          <w:lang w:eastAsia="pt-BR"/>
        </w:rPr>
        <w:t>, na Disfagia Orofaríngea Neurogênica e Mecânica. Voz: Avaliação. Classificação. Diagnóstico Clínico.</w:t>
      </w:r>
    </w:p>
    <w:p w:rsidR="004F5287" w:rsidRDefault="004F5287"/>
    <w:sectPr w:rsidR="004F5287" w:rsidSect="004F5287">
      <w:headerReference w:type="default" r:id="rId8"/>
      <w:pgSz w:w="11906" w:h="16838"/>
      <w:pgMar w:top="1417" w:right="1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FF" w:rsidRDefault="008708FF" w:rsidP="004F5287">
      <w:pPr>
        <w:spacing w:after="0" w:line="240" w:lineRule="auto"/>
      </w:pPr>
      <w:r>
        <w:separator/>
      </w:r>
    </w:p>
  </w:endnote>
  <w:endnote w:type="continuationSeparator" w:id="0">
    <w:p w:rsidR="008708FF" w:rsidRDefault="008708FF" w:rsidP="004F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FF" w:rsidRDefault="008708FF" w:rsidP="004F5287">
      <w:pPr>
        <w:spacing w:after="0" w:line="240" w:lineRule="auto"/>
      </w:pPr>
      <w:r>
        <w:separator/>
      </w:r>
    </w:p>
  </w:footnote>
  <w:footnote w:type="continuationSeparator" w:id="0">
    <w:p w:rsidR="008708FF" w:rsidRDefault="008708FF" w:rsidP="004F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87" w:rsidRPr="004F5287" w:rsidRDefault="004F5287" w:rsidP="004F5287">
    <w:pPr>
      <w:overflowPunct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color w:val="00000A"/>
        <w:sz w:val="24"/>
        <w:szCs w:val="20"/>
        <w:lang w:eastAsia="pt-BR"/>
      </w:rPr>
    </w:pPr>
    <w:r w:rsidRPr="004F5287">
      <w:rPr>
        <w:rFonts w:ascii="Arial" w:eastAsia="Times New Roman" w:hAnsi="Arial" w:cs="Times New Roman"/>
        <w:b/>
        <w:noProof/>
        <w:color w:val="00000A"/>
        <w:sz w:val="24"/>
        <w:szCs w:val="20"/>
        <w:lang w:eastAsia="pt-BR"/>
      </w:rPr>
      <w:drawing>
        <wp:anchor distT="0" distB="9525" distL="114300" distR="114300" simplePos="0" relativeHeight="251659264" behindDoc="1" locked="0" layoutInCell="1" allowOverlap="1" wp14:anchorId="07C58CAC" wp14:editId="40B25330">
          <wp:simplePos x="0" y="0"/>
          <wp:positionH relativeFrom="column">
            <wp:posOffset>5779135</wp:posOffset>
          </wp:positionH>
          <wp:positionV relativeFrom="paragraph">
            <wp:posOffset>-57785</wp:posOffset>
          </wp:positionV>
          <wp:extent cx="953135" cy="714375"/>
          <wp:effectExtent l="0" t="0" r="0" b="0"/>
          <wp:wrapSquare wrapText="bothSides"/>
          <wp:docPr id="1" name="Imagem 1" descr="C:\Users\ivanir\Pictures\caçad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vanir\Pictures\caçad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5287">
      <w:rPr>
        <w:rFonts w:ascii="Arial" w:eastAsia="Times New Roman" w:hAnsi="Arial" w:cs="Arial"/>
        <w:b/>
        <w:color w:val="00000A"/>
        <w:sz w:val="20"/>
        <w:szCs w:val="20"/>
        <w:lang w:eastAsia="pt-BR"/>
      </w:rPr>
      <w:t>PREFEITURA MUNICIPAL DE CAÇADOR – SC</w:t>
    </w:r>
  </w:p>
  <w:p w:rsidR="004F5287" w:rsidRPr="004F5287" w:rsidRDefault="004F5287" w:rsidP="004F5287">
    <w:pPr>
      <w:overflowPunct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color w:val="00000A"/>
        <w:sz w:val="20"/>
        <w:szCs w:val="20"/>
        <w:lang w:eastAsia="pt-BR"/>
      </w:rPr>
    </w:pPr>
    <w:r w:rsidRPr="004F5287">
      <w:rPr>
        <w:rFonts w:ascii="Arial" w:eastAsia="Times New Roman" w:hAnsi="Arial" w:cs="Arial"/>
        <w:b/>
        <w:color w:val="00000A"/>
        <w:sz w:val="20"/>
        <w:szCs w:val="20"/>
        <w:lang w:eastAsia="pt-BR"/>
      </w:rPr>
      <w:t>SECRETARIA MUNICIPAL DE EDUCAÇÃO</w:t>
    </w:r>
  </w:p>
  <w:p w:rsidR="004F5287" w:rsidRPr="004F5287" w:rsidRDefault="004F5287" w:rsidP="004F5287">
    <w:pPr>
      <w:overflowPunct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color w:val="00000A"/>
        <w:sz w:val="24"/>
        <w:szCs w:val="20"/>
        <w:lang w:eastAsia="pt-BR"/>
      </w:rPr>
    </w:pPr>
    <w:r w:rsidRPr="004F5287">
      <w:rPr>
        <w:rFonts w:ascii="Arial" w:eastAsia="Times New Roman" w:hAnsi="Arial" w:cs="Arial"/>
        <w:b/>
        <w:color w:val="00000A"/>
        <w:sz w:val="20"/>
        <w:szCs w:val="20"/>
        <w:lang w:eastAsia="pt-BR"/>
      </w:rPr>
      <w:t>PROCESSO SELETIVO SIMPLIFICADO</w:t>
    </w:r>
  </w:p>
  <w:p w:rsidR="004F5287" w:rsidRPr="004F5287" w:rsidRDefault="004F5287" w:rsidP="004F5287">
    <w:pPr>
      <w:overflowPunct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color w:val="00000A"/>
        <w:sz w:val="24"/>
        <w:szCs w:val="20"/>
        <w:lang w:eastAsia="pt-BR"/>
      </w:rPr>
    </w:pPr>
    <w:r w:rsidRPr="004F5287">
      <w:rPr>
        <w:rFonts w:ascii="Arial" w:eastAsia="Times New Roman" w:hAnsi="Arial" w:cs="Arial"/>
        <w:b/>
        <w:color w:val="00000A"/>
        <w:sz w:val="20"/>
        <w:szCs w:val="20"/>
        <w:lang w:eastAsia="pt-BR"/>
      </w:rPr>
      <w:t>EDITAL N</w:t>
    </w:r>
    <w:r w:rsidRPr="004F5287">
      <w:rPr>
        <w:rFonts w:ascii="Arial" w:eastAsia="Times New Roman" w:hAnsi="Arial" w:cs="Arial"/>
        <w:b/>
        <w:color w:val="00000A"/>
        <w:sz w:val="20"/>
        <w:szCs w:val="20"/>
        <w:u w:val="single"/>
        <w:vertAlign w:val="superscript"/>
        <w:lang w:eastAsia="pt-BR"/>
      </w:rPr>
      <w:t>o</w:t>
    </w:r>
    <w:r w:rsidRPr="004F5287">
      <w:rPr>
        <w:rFonts w:ascii="Arial" w:eastAsia="Times New Roman" w:hAnsi="Arial" w:cs="Arial"/>
        <w:b/>
        <w:color w:val="00000A"/>
        <w:sz w:val="20"/>
        <w:szCs w:val="20"/>
        <w:lang w:eastAsia="pt-BR"/>
      </w:rPr>
      <w:t xml:space="preserve"> 0</w:t>
    </w:r>
    <w:r>
      <w:rPr>
        <w:rFonts w:ascii="Arial" w:eastAsia="Times New Roman" w:hAnsi="Arial" w:cs="Arial"/>
        <w:b/>
        <w:color w:val="00000A"/>
        <w:sz w:val="20"/>
        <w:szCs w:val="20"/>
        <w:lang w:eastAsia="pt-BR"/>
      </w:rPr>
      <w:t>5</w:t>
    </w:r>
    <w:r w:rsidRPr="004F5287">
      <w:rPr>
        <w:rFonts w:ascii="Arial" w:eastAsia="Times New Roman" w:hAnsi="Arial" w:cs="Arial"/>
        <w:b/>
        <w:color w:val="00000A"/>
        <w:sz w:val="20"/>
        <w:szCs w:val="20"/>
        <w:lang w:eastAsia="pt-BR"/>
      </w:rPr>
      <w:t>/201</w:t>
    </w:r>
    <w:r>
      <w:rPr>
        <w:rFonts w:ascii="Arial" w:eastAsia="Times New Roman" w:hAnsi="Arial" w:cs="Arial"/>
        <w:b/>
        <w:color w:val="00000A"/>
        <w:sz w:val="20"/>
        <w:szCs w:val="20"/>
        <w:lang w:eastAsia="pt-BR"/>
      </w:rPr>
      <w:t>9</w:t>
    </w:r>
  </w:p>
  <w:p w:rsidR="004F5287" w:rsidRPr="004F5287" w:rsidRDefault="004F5287" w:rsidP="004F5287">
    <w:pPr>
      <w:spacing w:after="0" w:line="240" w:lineRule="auto"/>
      <w:jc w:val="center"/>
      <w:rPr>
        <w:rFonts w:ascii="Arial" w:eastAsia="Times New Roman" w:hAnsi="Arial" w:cs="Arial"/>
        <w:b/>
        <w:color w:val="00000A"/>
        <w:sz w:val="20"/>
        <w:szCs w:val="20"/>
        <w:lang w:eastAsia="pt-BR"/>
      </w:rPr>
    </w:pPr>
    <w:r w:rsidRPr="004F5287">
      <w:rPr>
        <w:rFonts w:ascii="Arial" w:eastAsia="Times New Roman" w:hAnsi="Arial" w:cs="Arial"/>
        <w:b/>
        <w:color w:val="00000A"/>
        <w:sz w:val="20"/>
        <w:szCs w:val="20"/>
        <w:lang w:eastAsia="pt-BR"/>
      </w:rPr>
      <w:t>ANEXO III</w:t>
    </w:r>
  </w:p>
  <w:p w:rsidR="004F5287" w:rsidRPr="004F5287" w:rsidRDefault="004F5287" w:rsidP="004F5287">
    <w:pPr>
      <w:spacing w:after="0" w:line="240" w:lineRule="auto"/>
      <w:jc w:val="center"/>
      <w:rPr>
        <w:rFonts w:ascii="Arial" w:eastAsia="Times New Roman" w:hAnsi="Arial" w:cs="Arial"/>
        <w:b/>
        <w:color w:val="00000A"/>
        <w:sz w:val="20"/>
        <w:szCs w:val="20"/>
        <w:lang w:eastAsia="pt-BR"/>
      </w:rPr>
    </w:pPr>
    <w:r w:rsidRPr="004F5287">
      <w:rPr>
        <w:rFonts w:ascii="Arial" w:eastAsia="Times New Roman" w:hAnsi="Arial" w:cs="Arial"/>
        <w:b/>
        <w:color w:val="00000A"/>
        <w:sz w:val="20"/>
        <w:szCs w:val="20"/>
        <w:lang w:eastAsia="pt-BR"/>
      </w:rPr>
      <w:t>CONTEÚDO PROGRAMÁTICO</w:t>
    </w:r>
  </w:p>
  <w:p w:rsidR="004F5287" w:rsidRDefault="004F52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99C"/>
    <w:multiLevelType w:val="multilevel"/>
    <w:tmpl w:val="AA8083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503C9D"/>
    <w:multiLevelType w:val="multilevel"/>
    <w:tmpl w:val="40F8D9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87"/>
    <w:rsid w:val="001E35CD"/>
    <w:rsid w:val="002C1EB4"/>
    <w:rsid w:val="004F5287"/>
    <w:rsid w:val="00510446"/>
    <w:rsid w:val="007C0ED8"/>
    <w:rsid w:val="008708FF"/>
    <w:rsid w:val="00A32E76"/>
    <w:rsid w:val="00D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287"/>
  </w:style>
  <w:style w:type="paragraph" w:styleId="Rodap">
    <w:name w:val="footer"/>
    <w:basedOn w:val="Normal"/>
    <w:link w:val="RodapChar"/>
    <w:uiPriority w:val="99"/>
    <w:unhideWhenUsed/>
    <w:rsid w:val="004F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287"/>
  </w:style>
  <w:style w:type="paragraph" w:styleId="Rodap">
    <w:name w:val="footer"/>
    <w:basedOn w:val="Normal"/>
    <w:link w:val="RodapChar"/>
    <w:uiPriority w:val="99"/>
    <w:unhideWhenUsed/>
    <w:rsid w:val="004F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5</cp:revision>
  <cp:lastPrinted>2019-10-22T20:47:00Z</cp:lastPrinted>
  <dcterms:created xsi:type="dcterms:W3CDTF">2019-10-22T19:00:00Z</dcterms:created>
  <dcterms:modified xsi:type="dcterms:W3CDTF">2019-10-23T15:57:00Z</dcterms:modified>
</cp:coreProperties>
</file>